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9"/>
        <w:rPr>
          <w:rFonts w:hint="eastAsia" w:ascii="方正小标宋_GBK" w:eastAsia="方正小标宋_GBK"/>
          <w:bCs/>
          <w:color w:val="auto"/>
          <w:sz w:val="72"/>
          <w:szCs w:val="72"/>
        </w:rPr>
      </w:pPr>
    </w:p>
    <w:p>
      <w:pPr>
        <w:adjustRightInd w:val="0"/>
        <w:snapToGrid w:val="0"/>
        <w:jc w:val="center"/>
        <w:outlineLvl w:val="9"/>
        <w:rPr>
          <w:rFonts w:hint="eastAsia" w:ascii="方正小标宋_GBK" w:eastAsia="方正小标宋_GBK"/>
          <w:bCs/>
          <w:color w:val="auto"/>
          <w:sz w:val="72"/>
          <w:szCs w:val="72"/>
        </w:rPr>
      </w:pPr>
    </w:p>
    <w:p>
      <w:pPr>
        <w:adjustRightInd w:val="0"/>
        <w:snapToGrid w:val="0"/>
        <w:jc w:val="center"/>
        <w:outlineLvl w:val="0"/>
        <w:rPr>
          <w:rFonts w:hint="eastAsia"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hint="eastAsia" w:ascii="楷体_GB2312" w:eastAsia="楷体_GB2312"/>
          <w:bCs/>
          <w:color w:val="auto"/>
          <w:sz w:val="48"/>
          <w:szCs w:val="48"/>
        </w:rPr>
      </w:pPr>
      <w:r>
        <w:rPr>
          <w:rFonts w:hint="eastAsia" w:ascii="楷体_GB2312" w:eastAsia="楷体_GB2312"/>
          <w:bCs/>
          <w:color w:val="auto"/>
          <w:sz w:val="48"/>
          <w:szCs w:val="48"/>
        </w:rPr>
        <w:t>（</w:t>
      </w:r>
      <w:r>
        <w:rPr>
          <w:rFonts w:hint="eastAsia" w:ascii="楷体_GB2312" w:eastAsia="楷体_GB2312"/>
          <w:bCs/>
          <w:color w:val="auto"/>
          <w:sz w:val="48"/>
          <w:szCs w:val="48"/>
          <w:lang w:val="en-US" w:eastAsia="zh-CN"/>
        </w:rPr>
        <w:t>污染影响类</w:t>
      </w:r>
      <w:r>
        <w:rPr>
          <w:rFonts w:hint="eastAsia" w:ascii="楷体_GB2312" w:eastAsia="楷体_GB2312"/>
          <w:bCs/>
          <w:color w:val="auto"/>
          <w:sz w:val="48"/>
          <w:szCs w:val="48"/>
        </w:rPr>
        <w:t>）</w:t>
      </w:r>
    </w:p>
    <w:p>
      <w:pPr>
        <w:bidi w:val="0"/>
        <w:rPr>
          <w:color w:val="auto"/>
        </w:rPr>
      </w:pPr>
      <w:bookmarkStart w:id="0" w:name="_Hlk57883728"/>
    </w:p>
    <w:p>
      <w:pPr>
        <w:jc w:val="center"/>
        <w:rPr>
          <w:rFonts w:eastAsia="仿宋"/>
          <w:color w:val="auto"/>
          <w:sz w:val="52"/>
          <w:szCs w:val="52"/>
        </w:rPr>
      </w:pPr>
    </w:p>
    <w:p>
      <w:pPr>
        <w:bidi w:val="0"/>
        <w:rPr>
          <w:color w:val="auto"/>
        </w:rPr>
      </w:pPr>
    </w:p>
    <w:p>
      <w:pPr>
        <w:bidi w:val="0"/>
        <w:rPr>
          <w:color w:val="auto"/>
        </w:rPr>
      </w:pPr>
    </w:p>
    <w:p>
      <w:pPr>
        <w:bidi w:val="0"/>
        <w:rPr>
          <w:color w:val="auto"/>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bookmarkEnd w:id="0"/>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eastAsia="仿宋_GB2312" w:cs="Times New Roman"/>
          <w:color w:val="auto"/>
          <w:sz w:val="36"/>
          <w:szCs w:val="36"/>
          <w:u w:val="single"/>
          <w:lang w:val="en-US" w:eastAsia="zh-CN"/>
        </w:rPr>
      </w:pPr>
      <w:r>
        <w:rPr>
          <w:rFonts w:hint="eastAsia" w:ascii="仿宋_GB2312" w:eastAsia="仿宋_GB2312"/>
          <w:color w:val="auto"/>
          <w:sz w:val="36"/>
          <w:szCs w:val="36"/>
        </w:rPr>
        <w:t>项目名称：</w:t>
      </w:r>
      <w:r>
        <w:rPr>
          <w:rFonts w:hint="eastAsia" w:eastAsia="仿宋_GB2312" w:cs="Times New Roman"/>
          <w:color w:val="auto"/>
          <w:sz w:val="36"/>
          <w:szCs w:val="36"/>
          <w:u w:val="single"/>
          <w:lang w:val="en-US" w:eastAsia="zh-CN"/>
        </w:rPr>
        <w:t xml:space="preserve">沙坡头灌区七星渠灌域续建配套与现代化改造工程1标段—宁夏水利水电工程局有限公司临时搅拌站项目 </w:t>
      </w:r>
    </w:p>
    <w:p>
      <w:pPr>
        <w:adjustRightInd w:val="0"/>
        <w:snapToGrid w:val="0"/>
        <w:spacing w:line="288" w:lineRule="auto"/>
        <w:rPr>
          <w:rFonts w:hint="eastAsia" w:eastAsia="仿宋_GB2312" w:cs="Times New Roman"/>
          <w:color w:val="auto"/>
          <w:sz w:val="36"/>
          <w:szCs w:val="36"/>
          <w:u w:val="single"/>
          <w:lang w:val="en-US" w:eastAsia="zh-CN"/>
        </w:rPr>
      </w:pPr>
      <w:r>
        <w:rPr>
          <w:rFonts w:hint="default" w:ascii="Times New Roman" w:hAnsi="Times New Roman" w:eastAsia="仿宋_GB2312" w:cs="Times New Roman"/>
          <w:color w:val="auto"/>
          <w:sz w:val="36"/>
          <w:szCs w:val="36"/>
        </w:rPr>
        <w:t>建设单位（盖章）：</w:t>
      </w:r>
      <w:r>
        <w:rPr>
          <w:rFonts w:hint="eastAsia" w:eastAsia="仿宋_GB2312" w:cs="Times New Roman"/>
          <w:color w:val="auto"/>
          <w:sz w:val="36"/>
          <w:szCs w:val="36"/>
          <w:u w:val="single"/>
          <w:lang w:val="en-US" w:eastAsia="zh-CN"/>
        </w:rPr>
        <w:t>宁夏水利水电工程局有限公司</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p>
    <w:p>
      <w:pPr>
        <w:adjustRightInd w:val="0"/>
        <w:snapToGrid w:val="0"/>
        <w:spacing w:line="288" w:lineRule="auto"/>
        <w:rPr>
          <w:rFonts w:hint="default" w:ascii="Times New Roman" w:hAnsi="Times New Roman" w:eastAsia="仿宋_GB2312" w:cs="Times New Roman"/>
          <w:color w:val="auto"/>
          <w:sz w:val="36"/>
          <w:szCs w:val="36"/>
          <w:u w:val="single"/>
          <w:lang w:val="en-US" w:eastAsia="zh-CN"/>
        </w:rPr>
      </w:pPr>
      <w:r>
        <w:rPr>
          <w:rFonts w:hint="default" w:ascii="Times New Roman" w:hAnsi="Times New Roman" w:eastAsia="仿宋_GB2312" w:cs="Times New Roman"/>
          <w:color w:val="auto"/>
          <w:sz w:val="36"/>
          <w:szCs w:val="36"/>
        </w:rPr>
        <w:t>编制日期：</w:t>
      </w:r>
      <w:r>
        <w:rPr>
          <w:rFonts w:hint="default" w:ascii="Times New Roman" w:hAnsi="Times New Roman" w:eastAsia="仿宋_GB2312" w:cs="Times New Roman"/>
          <w:color w:val="auto"/>
          <w:sz w:val="36"/>
          <w:szCs w:val="36"/>
          <w:u w:val="single"/>
        </w:rPr>
        <w:t xml:space="preserve">           </w:t>
      </w:r>
      <w:r>
        <w:rPr>
          <w:rFonts w:hint="eastAsia" w:eastAsia="仿宋_GB2312" w:cs="Times New Roman"/>
          <w:color w:val="auto"/>
          <w:sz w:val="36"/>
          <w:szCs w:val="36"/>
          <w:u w:val="single"/>
          <w:lang w:val="en-US" w:eastAsia="zh-CN"/>
        </w:rPr>
        <w:t xml:space="preserve"> </w:t>
      </w:r>
      <w:r>
        <w:rPr>
          <w:rFonts w:hint="default" w:ascii="Times New Roman" w:hAnsi="Times New Roman" w:eastAsia="仿宋_GB2312" w:cs="Times New Roman"/>
          <w:color w:val="auto"/>
          <w:sz w:val="36"/>
          <w:szCs w:val="36"/>
          <w:u w:val="single"/>
        </w:rPr>
        <w:t xml:space="preserve">  202</w:t>
      </w:r>
      <w:r>
        <w:rPr>
          <w:rFonts w:hint="eastAsia" w:eastAsia="仿宋_GB2312" w:cs="Times New Roman"/>
          <w:color w:val="auto"/>
          <w:sz w:val="36"/>
          <w:szCs w:val="36"/>
          <w:u w:val="single"/>
          <w:lang w:val="en-US" w:eastAsia="zh-CN"/>
        </w:rPr>
        <w:t>4</w:t>
      </w:r>
      <w:r>
        <w:rPr>
          <w:rFonts w:hint="default" w:ascii="Times New Roman" w:hAnsi="Times New Roman" w:eastAsia="仿宋_GB2312" w:cs="Times New Roman"/>
          <w:color w:val="auto"/>
          <w:sz w:val="36"/>
          <w:szCs w:val="36"/>
          <w:u w:val="single"/>
        </w:rPr>
        <w:t>年</w:t>
      </w:r>
      <w:r>
        <w:rPr>
          <w:rFonts w:hint="eastAsia" w:eastAsia="仿宋_GB2312" w:cs="Times New Roman"/>
          <w:color w:val="auto"/>
          <w:sz w:val="36"/>
          <w:szCs w:val="36"/>
          <w:u w:val="single"/>
          <w:lang w:val="en-US" w:eastAsia="zh-CN"/>
        </w:rPr>
        <w:t>3</w:t>
      </w:r>
      <w:r>
        <w:rPr>
          <w:rFonts w:hint="default" w:ascii="Times New Roman" w:hAnsi="Times New Roman" w:eastAsia="仿宋_GB2312" w:cs="Times New Roman"/>
          <w:color w:val="auto"/>
          <w:sz w:val="36"/>
          <w:szCs w:val="36"/>
          <w:u w:val="single"/>
        </w:rPr>
        <w:t xml:space="preserve">月              </w:t>
      </w:r>
      <w:r>
        <w:rPr>
          <w:rFonts w:hint="eastAsia" w:eastAsia="仿宋_GB2312" w:cs="Times New Roman"/>
          <w:color w:val="auto"/>
          <w:sz w:val="36"/>
          <w:szCs w:val="36"/>
          <w:u w:val="single"/>
          <w:lang w:val="en-US" w:eastAsia="zh-CN"/>
        </w:rPr>
        <w:t xml:space="preserve">   </w:t>
      </w: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pStyle w:val="21"/>
        <w:rPr>
          <w:rFonts w:hint="default"/>
          <w:color w:val="auto"/>
        </w:rPr>
      </w:pPr>
    </w:p>
    <w:p>
      <w:pPr>
        <w:adjustRightInd w:val="0"/>
        <w:snapToGrid w:val="0"/>
        <w:spacing w:line="288" w:lineRule="auto"/>
        <w:ind w:firstLine="1040"/>
        <w:rPr>
          <w:rFonts w:hint="default" w:ascii="Times New Roman" w:hAnsi="Times New Roman" w:eastAsia="仿宋_GB2312" w:cs="Times New Roman"/>
          <w:color w:val="auto"/>
          <w:sz w:val="36"/>
          <w:szCs w:val="36"/>
        </w:rPr>
      </w:pPr>
    </w:p>
    <w:p>
      <w:pPr>
        <w:adjustRightInd w:val="0"/>
        <w:snapToGrid w:val="0"/>
        <w:spacing w:line="288" w:lineRule="auto"/>
        <w:jc w:val="center"/>
        <w:rPr>
          <w:rFonts w:hint="default" w:ascii="Times New Roman" w:hAnsi="Times New Roman" w:eastAsia="楷体_GB2312" w:cs="Times New Roman"/>
          <w:color w:val="auto"/>
          <w:sz w:val="36"/>
          <w:szCs w:val="36"/>
        </w:rPr>
        <w:sectPr>
          <w:footerReference r:id="rId3" w:type="default"/>
          <w:footerReference r:id="rId4" w:type="even"/>
          <w:pgSz w:w="11906" w:h="16838"/>
          <w:pgMar w:top="1587" w:right="1361" w:bottom="1587" w:left="1361" w:header="851" w:footer="1077" w:gutter="0"/>
          <w:pgBorders>
            <w:top w:val="none" w:sz="0" w:space="0"/>
            <w:left w:val="none" w:sz="0" w:space="0"/>
            <w:bottom w:val="none" w:sz="0" w:space="0"/>
            <w:right w:val="none" w:sz="0" w:space="0"/>
          </w:pgBorders>
          <w:pgNumType w:start="1"/>
          <w:cols w:space="720" w:num="1"/>
          <w:docGrid w:linePitch="312" w:charSpace="0"/>
        </w:sectPr>
      </w:pPr>
      <w:r>
        <w:rPr>
          <w:rFonts w:hint="default" w:ascii="Times New Roman" w:hAnsi="Times New Roman" w:eastAsia="楷体_GB2312" w:cs="Times New Roman"/>
          <w:color w:val="auto"/>
          <w:sz w:val="36"/>
          <w:szCs w:val="36"/>
        </w:rPr>
        <w:t>中华人民共和国生态环境部制</w:t>
      </w:r>
    </w:p>
    <w:p>
      <w:pPr>
        <w:pStyle w:val="4"/>
        <w:keepNext/>
        <w:keepLines w:val="0"/>
        <w:pageBreakBefore w:val="0"/>
        <w:widowControl w:val="0"/>
        <w:kinsoku/>
        <w:wordWrap/>
        <w:overflowPunct w:val="0"/>
        <w:topLinePunct w:val="0"/>
        <w:autoSpaceDE/>
        <w:autoSpaceDN/>
        <w:bidi w:val="0"/>
        <w:adjustRightInd w:val="0"/>
        <w:snapToGrid w:val="0"/>
        <w:spacing w:before="0" w:after="0" w:line="240" w:lineRule="auto"/>
        <w:ind w:left="0" w:leftChars="0" w:firstLine="0" w:firstLineChars="0"/>
        <w:jc w:val="center"/>
        <w:textAlignment w:val="auto"/>
        <w:rPr>
          <w:color w:val="auto"/>
        </w:rPr>
      </w:pPr>
      <w:r>
        <w:rPr>
          <w:color w:val="auto"/>
        </w:rPr>
        <w:t>一、建设项目基本情况</w:t>
      </w:r>
    </w:p>
    <w:tbl>
      <w:tblPr>
        <w:tblStyle w:val="22"/>
        <w:tblW w:w="530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629"/>
        <w:gridCol w:w="2720"/>
        <w:gridCol w:w="1591"/>
        <w:gridCol w:w="34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建设项目</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名称</w:t>
            </w:r>
          </w:p>
        </w:tc>
        <w:tc>
          <w:tcPr>
            <w:tcW w:w="7680"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沙坡头灌区七星渠灌域续建配套与现代化改造工程1标段</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宁夏水利水电工程局有限公司</w:t>
            </w:r>
            <w:r>
              <w:rPr>
                <w:rFonts w:hint="default" w:ascii="Times New Roman" w:hAnsi="Times New Roman" w:eastAsia="宋体" w:cs="Times New Roman"/>
                <w:color w:val="auto"/>
                <w:sz w:val="24"/>
                <w:szCs w:val="24"/>
                <w:lang w:val="en-US" w:eastAsia="zh-CN"/>
              </w:rPr>
              <w:t>临时搅拌站项目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项目代码</w:t>
            </w:r>
          </w:p>
        </w:tc>
        <w:tc>
          <w:tcPr>
            <w:tcW w:w="7680"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bookmarkStart w:id="3" w:name="_GoBack"/>
            <w:bookmarkEnd w:id="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建设单位</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联系人</w:t>
            </w:r>
          </w:p>
        </w:tc>
        <w:tc>
          <w:tcPr>
            <w:tcW w:w="2692"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马振兴</w:t>
            </w:r>
          </w:p>
        </w:tc>
        <w:tc>
          <w:tcPr>
            <w:tcW w:w="1575" w:type="dxa"/>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联系方式</w:t>
            </w:r>
          </w:p>
        </w:tc>
        <w:tc>
          <w:tcPr>
            <w:tcW w:w="341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建设地点</w:t>
            </w:r>
          </w:p>
        </w:tc>
        <w:tc>
          <w:tcPr>
            <w:tcW w:w="7680" w:type="dxa"/>
            <w:gridSpan w:val="3"/>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u w:val="single"/>
              </w:rPr>
              <w:t>宁夏回族</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none"/>
              </w:rPr>
              <w:t>自治区</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single"/>
                <w:lang w:val="en-US" w:eastAsia="zh-CN"/>
              </w:rPr>
              <w:t>中卫</w:t>
            </w:r>
            <w:r>
              <w:rPr>
                <w:rFonts w:hint="default" w:ascii="Times New Roman" w:hAnsi="Times New Roman" w:eastAsia="宋体" w:cs="Times New Roman"/>
                <w:color w:val="auto"/>
                <w:sz w:val="24"/>
                <w:szCs w:val="24"/>
                <w:u w:val="none"/>
                <w:lang w:val="en-US" w:eastAsia="zh-CN"/>
              </w:rPr>
              <w:t>（市）</w:t>
            </w:r>
            <w:r>
              <w:rPr>
                <w:rFonts w:hint="default" w:ascii="Times New Roman" w:hAnsi="Times New Roman" w:eastAsia="宋体" w:cs="Times New Roman"/>
                <w:color w:val="auto"/>
                <w:sz w:val="24"/>
                <w:szCs w:val="24"/>
                <w:u w:val="single"/>
                <w:lang w:val="en-US" w:eastAsia="zh-CN"/>
              </w:rPr>
              <w:t>沙坡头区</w:t>
            </w:r>
            <w:r>
              <w:rPr>
                <w:rFonts w:hint="eastAsia" w:cs="Times New Roman"/>
                <w:color w:val="auto"/>
                <w:sz w:val="24"/>
                <w:szCs w:val="24"/>
                <w:u w:val="single"/>
                <w:lang w:val="en-US" w:eastAsia="zh-CN"/>
              </w:rPr>
              <w:t>永康镇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地理坐标</w:t>
            </w:r>
          </w:p>
        </w:tc>
        <w:tc>
          <w:tcPr>
            <w:tcW w:w="7680" w:type="dxa"/>
            <w:gridSpan w:val="3"/>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东经：</w:t>
            </w:r>
            <w:r>
              <w:rPr>
                <w:rFonts w:hint="default" w:ascii="Times New Roman" w:hAnsi="Times New Roman" w:eastAsia="宋体" w:cs="Times New Roman"/>
                <w:color w:val="auto"/>
                <w:sz w:val="24"/>
                <w:szCs w:val="24"/>
                <w:highlight w:val="none"/>
                <w:u w:val="single"/>
                <w:lang w:val="en-US" w:eastAsia="zh-CN"/>
              </w:rPr>
              <w:t>105</w:t>
            </w:r>
            <w:r>
              <w:rPr>
                <w:rFonts w:hint="default" w:ascii="Times New Roman" w:hAnsi="Times New Roman" w:eastAsia="宋体" w:cs="Times New Roman"/>
                <w:color w:val="auto"/>
                <w:sz w:val="24"/>
                <w:szCs w:val="24"/>
                <w:highlight w:val="none"/>
              </w:rPr>
              <w:t>度</w:t>
            </w:r>
            <w:r>
              <w:rPr>
                <w:rFonts w:hint="eastAsia" w:cs="Times New Roman"/>
                <w:color w:val="auto"/>
                <w:sz w:val="24"/>
                <w:szCs w:val="24"/>
                <w:highlight w:val="none"/>
                <w:u w:val="single"/>
                <w:lang w:val="en-US" w:eastAsia="zh-CN"/>
              </w:rPr>
              <w:t>17</w:t>
            </w:r>
            <w:r>
              <w:rPr>
                <w:rFonts w:hint="default" w:ascii="Times New Roman" w:hAnsi="Times New Roman" w:eastAsia="宋体" w:cs="Times New Roman"/>
                <w:color w:val="auto"/>
                <w:sz w:val="24"/>
                <w:szCs w:val="24"/>
                <w:highlight w:val="none"/>
              </w:rPr>
              <w:t>分</w:t>
            </w:r>
            <w:r>
              <w:rPr>
                <w:rFonts w:hint="eastAsia" w:cs="Times New Roman"/>
                <w:color w:val="auto"/>
                <w:sz w:val="24"/>
                <w:szCs w:val="24"/>
                <w:highlight w:val="none"/>
                <w:u w:val="single"/>
                <w:lang w:val="en-US" w:eastAsia="zh-CN"/>
              </w:rPr>
              <w:t>18.722</w:t>
            </w:r>
            <w:r>
              <w:rPr>
                <w:rFonts w:hint="default" w:ascii="Times New Roman" w:hAnsi="Times New Roman" w:eastAsia="宋体" w:cs="Times New Roman"/>
                <w:color w:val="auto"/>
                <w:sz w:val="24"/>
                <w:szCs w:val="24"/>
                <w:highlight w:val="none"/>
              </w:rPr>
              <w:t>秒，北纬：</w:t>
            </w:r>
            <w:r>
              <w:rPr>
                <w:rFonts w:hint="default" w:ascii="Times New Roman" w:hAnsi="Times New Roman" w:eastAsia="宋体" w:cs="Times New Roman"/>
                <w:color w:val="auto"/>
                <w:sz w:val="24"/>
                <w:szCs w:val="24"/>
                <w:highlight w:val="none"/>
                <w:u w:val="single"/>
                <w:lang w:val="en-US" w:eastAsia="zh-CN"/>
              </w:rPr>
              <w:t>37</w:t>
            </w:r>
            <w:r>
              <w:rPr>
                <w:rFonts w:hint="default" w:ascii="Times New Roman" w:hAnsi="Times New Roman" w:eastAsia="宋体" w:cs="Times New Roman"/>
                <w:color w:val="auto"/>
                <w:sz w:val="24"/>
                <w:szCs w:val="24"/>
                <w:highlight w:val="none"/>
              </w:rPr>
              <w:t>度</w:t>
            </w:r>
            <w:r>
              <w:rPr>
                <w:rFonts w:hint="eastAsia" w:cs="Times New Roman"/>
                <w:color w:val="auto"/>
                <w:sz w:val="24"/>
                <w:szCs w:val="24"/>
                <w:highlight w:val="none"/>
                <w:u w:val="single"/>
                <w:lang w:val="en-US" w:eastAsia="zh-CN"/>
              </w:rPr>
              <w:t>28</w:t>
            </w:r>
            <w:r>
              <w:rPr>
                <w:rFonts w:hint="default" w:ascii="Times New Roman" w:hAnsi="Times New Roman" w:eastAsia="宋体" w:cs="Times New Roman"/>
                <w:color w:val="auto"/>
                <w:sz w:val="24"/>
                <w:szCs w:val="24"/>
                <w:highlight w:val="none"/>
              </w:rPr>
              <w:t>分</w:t>
            </w:r>
            <w:r>
              <w:rPr>
                <w:rFonts w:hint="eastAsia" w:cs="Times New Roman"/>
                <w:color w:val="auto"/>
                <w:sz w:val="24"/>
                <w:szCs w:val="24"/>
                <w:highlight w:val="none"/>
                <w:u w:val="single"/>
                <w:lang w:val="en-US" w:eastAsia="zh-CN"/>
              </w:rPr>
              <w:t>50.893</w:t>
            </w:r>
            <w:r>
              <w:rPr>
                <w:rFonts w:hint="default" w:ascii="Times New Roman" w:hAnsi="Times New Roman" w:eastAsia="宋体" w:cs="Times New Roman"/>
                <w:color w:val="auto"/>
                <w:sz w:val="24"/>
                <w:szCs w:val="24"/>
                <w:highlight w:val="none"/>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国民经济</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行业类别</w:t>
            </w:r>
          </w:p>
        </w:tc>
        <w:tc>
          <w:tcPr>
            <w:tcW w:w="2692"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C3021水泥制品制造</w:t>
            </w:r>
          </w:p>
        </w:tc>
        <w:tc>
          <w:tcPr>
            <w:tcW w:w="1575" w:type="dxa"/>
            <w:noWrap w:val="0"/>
            <w:vAlign w:val="center"/>
          </w:tcPr>
          <w:p>
            <w:pPr>
              <w:adjustRightInd w:val="0"/>
              <w:snapToGrid w:val="0"/>
              <w:jc w:val="center"/>
              <w:rPr>
                <w:rFonts w:hint="default" w:ascii="Times New Roman" w:hAnsi="Times New Roman" w:eastAsia="宋体" w:cs="Times New Roman"/>
                <w:b/>
                <w:bCs/>
                <w:color w:val="auto"/>
                <w:sz w:val="24"/>
                <w:szCs w:val="24"/>
              </w:rPr>
            </w:pPr>
            <w:bookmarkStart w:id="1" w:name="_Hlk49843745"/>
            <w:r>
              <w:rPr>
                <w:rFonts w:hint="default" w:ascii="Times New Roman" w:hAnsi="Times New Roman" w:eastAsia="宋体" w:cs="Times New Roman"/>
                <w:b/>
                <w:bCs/>
                <w:color w:val="auto"/>
                <w:sz w:val="24"/>
                <w:szCs w:val="24"/>
              </w:rPr>
              <w:t>建设项目</w:t>
            </w:r>
          </w:p>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行业类别</w:t>
            </w:r>
            <w:bookmarkEnd w:id="1"/>
          </w:p>
        </w:tc>
        <w:tc>
          <w:tcPr>
            <w:tcW w:w="3413" w:type="dxa"/>
            <w:noWrap w:val="0"/>
            <w:vAlign w:val="center"/>
          </w:tcPr>
          <w:p>
            <w:pPr>
              <w:adjustRightInd w:val="0"/>
              <w:snapToGrid w:val="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二十七、非金属矿物制品业30</w:t>
            </w:r>
          </w:p>
          <w:p>
            <w:pPr>
              <w:pStyle w:val="21"/>
              <w:ind w:left="0" w:leftChars="0" w:firstLine="0" w:firstLineChars="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55.石膏、水泥制品及类似制品制造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建设性质</w:t>
            </w:r>
          </w:p>
        </w:tc>
        <w:tc>
          <w:tcPr>
            <w:tcW w:w="2692" w:type="dxa"/>
            <w:noWrap w:val="0"/>
            <w:vAlign w:val="center"/>
          </w:tcPr>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52"/>
            </w:r>
            <w:r>
              <w:rPr>
                <w:rFonts w:hint="default" w:ascii="Times New Roman" w:hAnsi="Times New Roman" w:eastAsia="宋体" w:cs="Times New Roman"/>
                <w:color w:val="auto"/>
                <w:sz w:val="24"/>
                <w:szCs w:val="24"/>
                <w:highlight w:val="none"/>
              </w:rPr>
              <w:t>新建</w:t>
            </w:r>
          </w:p>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highlight w:val="none"/>
              </w:rPr>
              <w:t>改建</w:t>
            </w:r>
          </w:p>
          <w:p>
            <w:pPr>
              <w:adjustRightInd w:val="0"/>
              <w:snapToGrid w:val="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highlight w:val="none"/>
              </w:rPr>
              <w:t>扩建</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highlight w:val="none"/>
              </w:rPr>
              <w:t>技术改造</w:t>
            </w:r>
          </w:p>
        </w:tc>
        <w:tc>
          <w:tcPr>
            <w:tcW w:w="1575" w:type="dxa"/>
            <w:noWrap w:val="0"/>
            <w:vAlign w:val="center"/>
          </w:tcPr>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建设项目</w:t>
            </w:r>
          </w:p>
          <w:p>
            <w:pPr>
              <w:adjustRightInd w:val="0"/>
              <w:snapToGrid w:val="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申报情形</w:t>
            </w:r>
          </w:p>
        </w:tc>
        <w:tc>
          <w:tcPr>
            <w:tcW w:w="3413" w:type="dxa"/>
            <w:noWrap w:val="0"/>
            <w:vAlign w:val="center"/>
          </w:tcPr>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52"/>
            </w:r>
            <w:r>
              <w:rPr>
                <w:rFonts w:hint="default" w:ascii="Times New Roman" w:hAnsi="Times New Roman" w:eastAsia="宋体" w:cs="Times New Roman"/>
                <w:color w:val="auto"/>
                <w:sz w:val="24"/>
                <w:szCs w:val="24"/>
              </w:rPr>
              <w:t>首次申报项目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不予批准后再次申报项目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超五年重新审核项目</w:t>
            </w:r>
          </w:p>
          <w:p>
            <w:pPr>
              <w:adjustRightInd w:val="0"/>
              <w:snapToGrid w:val="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sz w:val="24"/>
                <w:szCs w:val="24"/>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项目审批（核准/备案）部门（选填）</w:t>
            </w:r>
          </w:p>
        </w:tc>
        <w:tc>
          <w:tcPr>
            <w:tcW w:w="2692"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w:t>
            </w:r>
          </w:p>
        </w:tc>
        <w:tc>
          <w:tcPr>
            <w:tcW w:w="1575" w:type="dxa"/>
            <w:noWrap w:val="0"/>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项目审批（核准/备案）文号（选填）</w:t>
            </w:r>
          </w:p>
        </w:tc>
        <w:tc>
          <w:tcPr>
            <w:tcW w:w="3413" w:type="dxa"/>
            <w:noWrap w:val="0"/>
            <w:vAlign w:val="center"/>
          </w:tcPr>
          <w:p>
            <w:pPr>
              <w:adjustRightInd w:val="0"/>
              <w:snapToGrid w:val="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总投资</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（万元）</w:t>
            </w:r>
          </w:p>
        </w:tc>
        <w:tc>
          <w:tcPr>
            <w:tcW w:w="2692"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420</w:t>
            </w:r>
          </w:p>
        </w:tc>
        <w:tc>
          <w:tcPr>
            <w:tcW w:w="1575"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环保投资</w:t>
            </w:r>
          </w:p>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（万元）</w:t>
            </w:r>
          </w:p>
        </w:tc>
        <w:tc>
          <w:tcPr>
            <w:tcW w:w="3413"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19.8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环保投资占比（%）</w:t>
            </w:r>
          </w:p>
        </w:tc>
        <w:tc>
          <w:tcPr>
            <w:tcW w:w="2692"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4.71</w:t>
            </w:r>
          </w:p>
        </w:tc>
        <w:tc>
          <w:tcPr>
            <w:tcW w:w="1575"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施工工期</w:t>
            </w:r>
          </w:p>
        </w:tc>
        <w:tc>
          <w:tcPr>
            <w:tcW w:w="3413" w:type="dxa"/>
            <w:noWrap w:val="0"/>
            <w:vAlign w:val="center"/>
          </w:tcPr>
          <w:p>
            <w:pPr>
              <w:adjustRightInd w:val="0"/>
              <w:snapToGrid w:val="0"/>
              <w:spacing w:line="240" w:lineRule="auto"/>
              <w:jc w:val="center"/>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20天</w:t>
            </w:r>
          </w:p>
          <w:p>
            <w:pPr>
              <w:pStyle w:val="2"/>
              <w:spacing w:line="240" w:lineRule="auto"/>
              <w:ind w:left="0" w:leftChars="0" w:firstLine="0" w:firstLineChars="0"/>
              <w:jc w:val="center"/>
              <w:rPr>
                <w:rFonts w:hint="default"/>
                <w:lang w:val="en-US" w:eastAsia="zh-CN"/>
              </w:rPr>
            </w:pPr>
            <w:r>
              <w:rPr>
                <w:rFonts w:hint="default" w:ascii="Times New Roman" w:hAnsi="Times New Roman" w:eastAsia="宋体" w:cs="Times New Roman"/>
                <w:color w:val="auto"/>
                <w:kern w:val="2"/>
                <w:sz w:val="24"/>
                <w:szCs w:val="24"/>
                <w:highlight w:val="none"/>
                <w:lang w:val="en-US" w:eastAsia="zh-CN" w:bidi="ar-SA"/>
              </w:rPr>
              <w:t>（</w:t>
            </w:r>
            <w:r>
              <w:rPr>
                <w:rFonts w:hint="eastAsia" w:cs="Times New Roman"/>
                <w:color w:val="auto"/>
                <w:kern w:val="2"/>
                <w:sz w:val="24"/>
                <w:szCs w:val="24"/>
                <w:highlight w:val="none"/>
                <w:lang w:val="en-US" w:eastAsia="zh-CN" w:bidi="ar-SA"/>
              </w:rPr>
              <w:t>项目</w:t>
            </w:r>
            <w:r>
              <w:rPr>
                <w:rFonts w:hint="eastAsia" w:ascii="Times New Roman" w:hAnsi="Times New Roman" w:eastAsia="宋体" w:cs="Times New Roman"/>
                <w:color w:val="auto"/>
                <w:kern w:val="2"/>
                <w:sz w:val="24"/>
                <w:szCs w:val="24"/>
                <w:highlight w:val="none"/>
                <w:lang w:val="en-US" w:eastAsia="zh-CN" w:bidi="ar-SA"/>
              </w:rPr>
              <w:t>属于临时工程，运行时长为450天</w:t>
            </w:r>
            <w:r>
              <w:rPr>
                <w:rFonts w:hint="eastAsia" w:cs="Times New Roman"/>
                <w:color w:val="auto"/>
                <w:kern w:val="2"/>
                <w:sz w:val="24"/>
                <w:szCs w:val="24"/>
                <w:highlight w:val="none"/>
                <w:lang w:val="en-US" w:eastAsia="zh-CN" w:bidi="ar-SA"/>
              </w:rPr>
              <w:t>，</w:t>
            </w:r>
            <w:r>
              <w:rPr>
                <w:rFonts w:hint="default" w:ascii="Times New Roman" w:hAnsi="Times New Roman" w:eastAsia="宋体" w:cs="Times New Roman"/>
                <w:color w:val="auto"/>
                <w:kern w:val="2"/>
                <w:sz w:val="24"/>
                <w:szCs w:val="24"/>
                <w:highlight w:val="none"/>
                <w:lang w:val="en-US" w:eastAsia="zh-CN" w:bidi="ar-SA"/>
              </w:rPr>
              <w:t>项目建设完成后，</w:t>
            </w:r>
            <w:r>
              <w:rPr>
                <w:rFonts w:hint="eastAsia" w:ascii="Times New Roman" w:hAnsi="Times New Roman" w:eastAsia="宋体" w:cs="Times New Roman"/>
                <w:color w:val="auto"/>
                <w:kern w:val="2"/>
                <w:sz w:val="24"/>
                <w:szCs w:val="24"/>
                <w:highlight w:val="none"/>
                <w:lang w:val="en-US" w:eastAsia="zh-CN" w:bidi="ar-SA"/>
              </w:rPr>
              <w:t>2</w:t>
            </w:r>
            <w:r>
              <w:rPr>
                <w:rFonts w:hint="default" w:ascii="Times New Roman" w:hAnsi="Times New Roman" w:eastAsia="宋体" w:cs="Times New Roman"/>
                <w:color w:val="auto"/>
                <w:kern w:val="2"/>
                <w:sz w:val="24"/>
                <w:szCs w:val="24"/>
                <w:highlight w:val="none"/>
                <w:lang w:val="en-US" w:eastAsia="zh-CN" w:bidi="ar-SA"/>
              </w:rPr>
              <w:t>年内拆除，）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tcMar>
              <w:top w:w="16" w:type="dxa"/>
              <w:left w:w="16" w:type="dxa"/>
              <w:right w:w="16" w:type="dxa"/>
            </w:tcMar>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是否开工</w:t>
            </w:r>
          </w:p>
          <w:p>
            <w:pPr>
              <w:pStyle w:val="13"/>
              <w:adjustRightInd w:val="0"/>
              <w:snapToGrid w:val="0"/>
              <w:spacing w:after="0"/>
              <w:ind w:left="0" w:leftChars="0"/>
              <w:jc w:val="center"/>
              <w:rPr>
                <w:rFonts w:hint="default" w:ascii="Times New Roman" w:hAnsi="Times New Roman" w:eastAsia="宋体" w:cs="Times New Roman"/>
                <w:b/>
                <w:bCs/>
                <w:color w:val="auto"/>
                <w:sz w:val="24"/>
                <w:szCs w:val="24"/>
                <w:highlight w:val="yellow"/>
                <w:lang w:val="en-US" w:eastAsia="zh-CN"/>
              </w:rPr>
            </w:pPr>
            <w:r>
              <w:rPr>
                <w:rFonts w:hint="default" w:ascii="Times New Roman" w:hAnsi="Times New Roman" w:eastAsia="宋体" w:cs="Times New Roman"/>
                <w:b/>
                <w:bCs/>
                <w:color w:val="auto"/>
                <w:sz w:val="24"/>
                <w:szCs w:val="24"/>
                <w:highlight w:val="none"/>
                <w:lang w:val="en-US" w:eastAsia="zh-CN"/>
              </w:rPr>
              <w:t>建设</w:t>
            </w:r>
          </w:p>
        </w:tc>
        <w:tc>
          <w:tcPr>
            <w:tcW w:w="2692" w:type="dxa"/>
            <w:noWrap w:val="0"/>
            <w:vAlign w:val="center"/>
          </w:tcPr>
          <w:p>
            <w:pPr>
              <w:adjustRightInd w:val="0"/>
              <w:snapToGrid w:val="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sym w:font="Wingdings 2" w:char="0052"/>
            </w:r>
            <w:r>
              <w:rPr>
                <w:rFonts w:hint="default" w:ascii="Times New Roman" w:hAnsi="Times New Roman" w:eastAsia="宋体" w:cs="Times New Roman"/>
                <w:color w:val="auto"/>
                <w:kern w:val="0"/>
                <w:sz w:val="24"/>
                <w:szCs w:val="24"/>
                <w:highlight w:val="none"/>
              </w:rPr>
              <w:t>否</w:t>
            </w:r>
          </w:p>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 w:val="24"/>
                <w:szCs w:val="24"/>
                <w:highlight w:val="yellow"/>
                <w:lang w:val="en-US" w:eastAsia="zh-CN"/>
              </w:rPr>
            </w:pPr>
            <w:r>
              <w:rPr>
                <w:rFonts w:hint="default" w:ascii="Times New Roman" w:hAnsi="Times New Roman" w:eastAsia="宋体" w:cs="Times New Roman"/>
                <w:color w:val="auto"/>
                <w:kern w:val="0"/>
                <w:sz w:val="24"/>
                <w:szCs w:val="24"/>
                <w:highlight w:val="none"/>
              </w:rPr>
              <w:sym w:font="Wingdings 2" w:char="00A3"/>
            </w:r>
            <w:r>
              <w:rPr>
                <w:rFonts w:hint="default" w:ascii="Times New Roman" w:hAnsi="Times New Roman" w:eastAsia="宋体" w:cs="Times New Roman"/>
                <w:color w:val="auto"/>
                <w:kern w:val="0"/>
                <w:sz w:val="24"/>
                <w:szCs w:val="24"/>
                <w:highlight w:val="none"/>
              </w:rPr>
              <w:t>是</w:t>
            </w:r>
            <w:r>
              <w:rPr>
                <w:rFonts w:hint="default" w:ascii="Times New Roman" w:hAnsi="Times New Roman" w:eastAsia="宋体" w:cs="Times New Roman"/>
                <w:color w:val="auto"/>
                <w:kern w:val="0"/>
                <w:sz w:val="24"/>
                <w:szCs w:val="24"/>
                <w:highlight w:val="none"/>
                <w:lang w:eastAsia="zh-CN"/>
              </w:rPr>
              <w:t>：</w:t>
            </w:r>
          </w:p>
        </w:tc>
        <w:tc>
          <w:tcPr>
            <w:tcW w:w="1575"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b/>
                <w:bCs/>
                <w:color w:val="auto"/>
                <w:spacing w:val="-6"/>
                <w:sz w:val="24"/>
                <w:szCs w:val="24"/>
                <w:highlight w:val="none"/>
              </w:rPr>
            </w:pPr>
            <w:r>
              <w:rPr>
                <w:rFonts w:hint="default" w:ascii="Times New Roman" w:hAnsi="Times New Roman" w:eastAsia="宋体" w:cs="Times New Roman"/>
                <w:b/>
                <w:bCs/>
                <w:color w:val="auto"/>
                <w:spacing w:val="-6"/>
                <w:sz w:val="24"/>
                <w:szCs w:val="24"/>
                <w:highlight w:val="none"/>
              </w:rPr>
              <w:t>用地（用海）</w:t>
            </w:r>
          </w:p>
          <w:p>
            <w:pPr>
              <w:adjustRightInd w:val="0"/>
              <w:snapToGrid w:val="0"/>
              <w:jc w:val="center"/>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pacing w:val="-6"/>
                <w:sz w:val="24"/>
                <w:szCs w:val="24"/>
                <w:highlight w:val="none"/>
              </w:rPr>
              <w:t>面积（m</w:t>
            </w:r>
            <w:r>
              <w:rPr>
                <w:rFonts w:hint="default" w:ascii="Times New Roman" w:hAnsi="Times New Roman" w:eastAsia="宋体" w:cs="Times New Roman"/>
                <w:b/>
                <w:bCs/>
                <w:color w:val="auto"/>
                <w:spacing w:val="-6"/>
                <w:sz w:val="24"/>
                <w:szCs w:val="24"/>
                <w:highlight w:val="none"/>
                <w:vertAlign w:val="superscript"/>
              </w:rPr>
              <w:t>2</w:t>
            </w:r>
            <w:r>
              <w:rPr>
                <w:rFonts w:hint="default" w:ascii="Times New Roman" w:hAnsi="Times New Roman" w:eastAsia="宋体" w:cs="Times New Roman"/>
                <w:b/>
                <w:bCs/>
                <w:color w:val="auto"/>
                <w:spacing w:val="-6"/>
                <w:sz w:val="24"/>
                <w:szCs w:val="24"/>
                <w:highlight w:val="none"/>
              </w:rPr>
              <w:t>）</w:t>
            </w:r>
          </w:p>
        </w:tc>
        <w:tc>
          <w:tcPr>
            <w:tcW w:w="341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临时用地：12000</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1612"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专项评价设置情况</w:t>
            </w:r>
          </w:p>
        </w:tc>
        <w:tc>
          <w:tcPr>
            <w:tcW w:w="768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30" w:hRule="atLeast"/>
          <w:jc w:val="center"/>
        </w:trPr>
        <w:tc>
          <w:tcPr>
            <w:tcW w:w="1612"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sz w:val="24"/>
                <w:szCs w:val="24"/>
                <w:lang w:val="en-US" w:eastAsia="zh-CN"/>
              </w:rPr>
              <w:t>规划情况</w:t>
            </w:r>
          </w:p>
        </w:tc>
        <w:tc>
          <w:tcPr>
            <w:tcW w:w="7680" w:type="dxa"/>
            <w:gridSpan w:val="3"/>
            <w:noWrap w:val="0"/>
            <w:vAlign w:val="center"/>
          </w:tcPr>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规划名称：</w:t>
            </w:r>
            <w:r>
              <w:rPr>
                <w:rFonts w:hint="eastAsia" w:ascii="Times New Roman" w:hAnsi="Times New Roman" w:eastAsia="宋体" w:cs="Times New Roman"/>
                <w:color w:val="auto"/>
                <w:kern w:val="0"/>
                <w:sz w:val="24"/>
                <w:szCs w:val="24"/>
                <w:lang w:val="en-US" w:eastAsia="zh-CN" w:bidi="ar-SA"/>
              </w:rPr>
              <w:t>《建材工业“十四五”发展实施意见》</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审批机关：</w:t>
            </w:r>
            <w:r>
              <w:rPr>
                <w:rFonts w:hint="eastAsia" w:ascii="Times New Roman" w:hAnsi="Times New Roman" w:eastAsia="宋体" w:cs="Times New Roman"/>
                <w:color w:val="auto"/>
                <w:kern w:val="0"/>
                <w:sz w:val="24"/>
                <w:szCs w:val="24"/>
                <w:lang w:val="en-US" w:eastAsia="zh-CN" w:bidi="ar-SA"/>
              </w:rPr>
              <w:t>中国建筑材料联合会</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bCs/>
                <w:color w:val="auto"/>
                <w:kern w:val="0"/>
                <w:sz w:val="24"/>
                <w:szCs w:val="24"/>
                <w:lang w:val="en-US" w:eastAsia="zh-CN" w:bidi="ar-SA"/>
              </w:rPr>
              <w:t>审批文号：</w:t>
            </w:r>
            <w:r>
              <w:rPr>
                <w:rFonts w:hint="eastAsia" w:ascii="Times New Roman" w:hAnsi="Times New Roman" w:eastAsia="宋体" w:cs="Times New Roman"/>
                <w:color w:val="auto"/>
                <w:kern w:val="0"/>
                <w:sz w:val="24"/>
                <w:szCs w:val="24"/>
                <w:lang w:val="en-US" w:eastAsia="zh-CN" w:bidi="ar-SA"/>
              </w:rPr>
              <w:t>中建材联行发</w:t>
            </w:r>
            <w:r>
              <w:rPr>
                <w:rFonts w:hint="default" w:ascii="Times New Roman" w:hAnsi="Times New Roman" w:eastAsia="宋体" w:cs="Times New Roman"/>
                <w:color w:val="auto"/>
                <w:kern w:val="0"/>
                <w:sz w:val="24"/>
                <w:highlight w:val="none"/>
                <w:lang w:val="en-US" w:eastAsia="zh-CN"/>
              </w:rPr>
              <w:t>〔202</w:t>
            </w:r>
            <w:r>
              <w:rPr>
                <w:rFonts w:hint="eastAsia"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val="en-US" w:eastAsia="zh-CN"/>
              </w:rPr>
              <w:t>〕</w:t>
            </w:r>
            <w:r>
              <w:rPr>
                <w:rFonts w:hint="eastAsia" w:ascii="Times New Roman" w:hAnsi="Times New Roman" w:eastAsia="宋体" w:cs="Times New Roman"/>
                <w:color w:val="auto"/>
                <w:kern w:val="0"/>
                <w:sz w:val="24"/>
                <w:szCs w:val="24"/>
                <w:lang w:val="en-US" w:eastAsia="zh-CN" w:bidi="ar-SA"/>
              </w:rPr>
              <w:t>7</w:t>
            </w:r>
            <w:r>
              <w:rPr>
                <w:rFonts w:hint="default" w:ascii="Times New Roman" w:hAnsi="Times New Roman" w:eastAsia="宋体" w:cs="Times New Roman"/>
                <w:color w:val="auto"/>
                <w:kern w:val="0"/>
                <w:sz w:val="24"/>
                <w:szCs w:val="24"/>
                <w:lang w:val="en-US" w:eastAsia="zh-CN" w:bidi="ar-SA"/>
              </w:rPr>
              <w:t>0</w:t>
            </w:r>
            <w:r>
              <w:rPr>
                <w:rFonts w:hint="eastAsia" w:ascii="Times New Roman" w:hAnsi="Times New Roman" w:eastAsia="宋体" w:cs="Times New Roman"/>
                <w:color w:val="auto"/>
                <w:kern w:val="0"/>
                <w:sz w:val="24"/>
                <w:szCs w:val="24"/>
                <w:lang w:val="en-US" w:eastAsia="zh-CN" w:bidi="ar-SA"/>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30" w:hRule="atLeast"/>
          <w:jc w:val="center"/>
        </w:trPr>
        <w:tc>
          <w:tcPr>
            <w:tcW w:w="1612"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sz w:val="24"/>
                <w:szCs w:val="24"/>
                <w:lang w:val="en-US" w:eastAsia="zh-CN"/>
              </w:rPr>
              <w:t>规划环境影响评价情况</w:t>
            </w:r>
          </w:p>
        </w:tc>
        <w:tc>
          <w:tcPr>
            <w:tcW w:w="768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default" w:ascii="Times New Roman" w:hAnsi="Times New Roman" w:eastAsia="宋体" w:cs="Times New Roman"/>
                <w:b w:val="0"/>
                <w:bCs w:val="0"/>
                <w:color w:val="auto"/>
                <w:kern w:val="0"/>
                <w:sz w:val="24"/>
                <w:szCs w:val="24"/>
                <w:lang w:val="en-US" w:eastAsia="zh-CN" w:bidi="ar-SA"/>
              </w:rPr>
            </w:pPr>
            <w:r>
              <w:rPr>
                <w:rFonts w:hint="default" w:ascii="Times New Roman" w:hAnsi="Times New Roman" w:eastAsia="宋体" w:cs="Times New Roman"/>
                <w:b w:val="0"/>
                <w:bCs w:val="0"/>
                <w:color w:val="auto"/>
                <w:kern w:val="0"/>
                <w:sz w:val="24"/>
                <w:szCs w:val="24"/>
                <w:lang w:val="en-US" w:eastAsia="zh-CN"/>
              </w:rPr>
              <w:t>无</w:t>
            </w:r>
          </w:p>
        </w:tc>
      </w:tr>
    </w:tbl>
    <w:p>
      <w:pPr>
        <w:rPr>
          <w:color w:val="auto"/>
        </w:rPr>
        <w:sectPr>
          <w:headerReference r:id="rId5" w:type="default"/>
          <w:footerReference r:id="rId6" w:type="default"/>
          <w:pgSz w:w="11906" w:h="16838"/>
          <w:pgMar w:top="1587" w:right="1587" w:bottom="1587" w:left="1587" w:header="1304" w:footer="1020" w:gutter="0"/>
          <w:pgNumType w:fmt="decimal"/>
          <w:cols w:space="720" w:num="1"/>
          <w:docGrid w:type="lines" w:linePitch="312" w:charSpace="0"/>
        </w:sectPr>
      </w:pP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57" w:type="dxa"/>
          <w:right w:w="108" w:type="dxa"/>
        </w:tblCellMar>
      </w:tblPr>
      <w:tblGrid>
        <w:gridCol w:w="576"/>
        <w:gridCol w:w="83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57" w:type="dxa"/>
            <w:right w:w="108" w:type="dxa"/>
          </w:tblCellMar>
        </w:tblPrEx>
        <w:trPr>
          <w:trHeight w:val="4519" w:hRule="atLeast"/>
          <w:jc w:val="center"/>
        </w:trPr>
        <w:tc>
          <w:tcPr>
            <w:tcW w:w="576"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规划及规划环境影响评价符合性分析</w:t>
            </w:r>
          </w:p>
        </w:tc>
        <w:tc>
          <w:tcPr>
            <w:tcW w:w="8372" w:type="dxa"/>
            <w:noWrap w:val="0"/>
            <w:vAlign w:val="center"/>
          </w:tcPr>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与</w:t>
            </w:r>
            <w:r>
              <w:rPr>
                <w:rFonts w:hint="default" w:ascii="Times New Roman" w:hAnsi="Times New Roman" w:eastAsia="宋体" w:cs="Times New Roman"/>
                <w:b/>
                <w:bCs/>
                <w:color w:val="auto"/>
                <w:kern w:val="0"/>
                <w:sz w:val="24"/>
                <w:szCs w:val="24"/>
                <w:lang w:val="en-US" w:eastAsia="zh-CN" w:bidi="ar-SA"/>
              </w:rPr>
              <w:t>《建材工业“十四五”发展实施意见》</w:t>
            </w:r>
            <w:r>
              <w:rPr>
                <w:rFonts w:hint="default" w:ascii="Times New Roman" w:hAnsi="Times New Roman" w:eastAsia="宋体" w:cs="Times New Roman"/>
                <w:b/>
                <w:bCs/>
                <w:color w:val="auto"/>
                <w:sz w:val="24"/>
                <w:szCs w:val="24"/>
              </w:rPr>
              <w:t>符合性分析</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材工业“十四五”发展实施意见》中材料保障重点方向指出，水泥与混凝土行业重点发展低钙水泥熟料、低熟料系数水泥、硫（铁）铝酸盐等特种水泥、新型固碳胶凝材料等新型低碳水泥、超高性能混凝土、低胶凝材料自密实混凝土、高抗蚀高耐久混凝土、自修复混凝土、智能功能混凝土、固碳混凝土与水泥制品，加快发展专用水泥、低碳水泥、混凝土掺合料、</w:t>
            </w:r>
            <w:r>
              <w:rPr>
                <w:rFonts w:hint="default" w:ascii="Times New Roman" w:hAnsi="Times New Roman" w:eastAsia="宋体" w:cs="Times New Roman"/>
                <w:b w:val="0"/>
                <w:bCs/>
                <w:color w:val="auto"/>
                <w:sz w:val="24"/>
                <w:szCs w:val="24"/>
              </w:rPr>
              <w:t>预拌混凝土</w:t>
            </w:r>
            <w:r>
              <w:rPr>
                <w:rFonts w:hint="default" w:ascii="Times New Roman" w:hAnsi="Times New Roman" w:eastAsia="宋体" w:cs="Times New Roman"/>
                <w:color w:val="auto"/>
                <w:sz w:val="24"/>
                <w:szCs w:val="24"/>
              </w:rPr>
              <w:t>、预拌砂浆、高耐久水泥制品和部品部件、水泥基复合制品。</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kern w:val="0"/>
                <w:sz w:val="24"/>
                <w:szCs w:val="24"/>
                <w:lang w:bidi="ar"/>
              </w:rPr>
              <w:t>建设临时混凝土拌合站服务于</w:t>
            </w:r>
            <w:r>
              <w:rPr>
                <w:rFonts w:hint="eastAsia" w:cs="Times New Roman"/>
                <w:color w:val="auto"/>
                <w:kern w:val="0"/>
                <w:sz w:val="24"/>
                <w:szCs w:val="24"/>
                <w:lang w:eastAsia="zh-CN" w:bidi="ar"/>
              </w:rPr>
              <w:t>沙坡头灌区七星渠灌域续建配套与现代化改造工程1标段</w:t>
            </w:r>
            <w:r>
              <w:rPr>
                <w:rFonts w:hint="default" w:ascii="Times New Roman" w:hAnsi="Times New Roman" w:eastAsia="宋体" w:cs="Times New Roman"/>
                <w:color w:val="auto"/>
                <w:kern w:val="0"/>
                <w:sz w:val="24"/>
                <w:szCs w:val="24"/>
                <w:lang w:bidi="ar"/>
              </w:rPr>
              <w:t>，属于预拌混凝土行业，符合</w:t>
            </w:r>
            <w:r>
              <w:rPr>
                <w:rFonts w:hint="default" w:ascii="Times New Roman" w:hAnsi="Times New Roman" w:eastAsia="宋体" w:cs="Times New Roman"/>
                <w:color w:val="auto"/>
                <w:sz w:val="24"/>
                <w:szCs w:val="24"/>
              </w:rPr>
              <w:t>《建材工业“十四五”发展实施意见》中重点发展方向。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57" w:type="dxa"/>
            <w:right w:w="108" w:type="dxa"/>
          </w:tblCellMar>
        </w:tblPrEx>
        <w:trPr>
          <w:trHeight w:val="23" w:hRule="atLeast"/>
          <w:jc w:val="center"/>
        </w:trPr>
        <w:tc>
          <w:tcPr>
            <w:tcW w:w="576" w:type="dxa"/>
            <w:noWrap w:val="0"/>
            <w:vAlign w:val="center"/>
          </w:tcPr>
          <w:p>
            <w:pPr>
              <w:pStyle w:val="13"/>
              <w:adjustRightInd w:val="0"/>
              <w:snapToGrid w:val="0"/>
              <w:spacing w:after="0"/>
              <w:ind w:left="0" w:leftChars="0"/>
              <w:jc w:val="center"/>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其他符合性分析</w:t>
            </w:r>
          </w:p>
        </w:tc>
        <w:tc>
          <w:tcPr>
            <w:tcW w:w="8372"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kern w:val="2"/>
                <w:sz w:val="24"/>
                <w:szCs w:val="24"/>
                <w:lang w:val="en-US" w:eastAsia="zh-CN" w:bidi="ar-SA"/>
              </w:rPr>
              <w:t>1、</w:t>
            </w:r>
            <w:r>
              <w:rPr>
                <w:rFonts w:hint="default" w:ascii="Times New Roman" w:hAnsi="Times New Roman" w:eastAsia="宋体" w:cs="Times New Roman"/>
                <w:b/>
                <w:bCs/>
                <w:color w:val="auto"/>
                <w:sz w:val="24"/>
                <w:highlight w:val="none"/>
                <w:lang w:val="en-US" w:eastAsia="zh-CN"/>
              </w:rPr>
              <w:t>产业政策符合性分析</w:t>
            </w:r>
          </w:p>
          <w:p>
            <w:pPr>
              <w:pStyle w:val="49"/>
              <w:keepNext w:val="0"/>
              <w:keepLines w:val="0"/>
              <w:pageBreakBefore w:val="0"/>
              <w:widowControl w:val="0"/>
              <w:numPr>
                <w:ilvl w:val="0"/>
                <w:numId w:val="0"/>
              </w:numPr>
              <w:kinsoku/>
              <w:wordWrap/>
              <w:overflowPunct/>
              <w:topLinePunct w:val="0"/>
              <w:bidi w:val="0"/>
              <w:adjustRightInd w:val="0"/>
              <w:snapToGrid w:val="0"/>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（1）根据《产业结构调整指导目录（2024年本）》（中华人民共和国国家发展和改革委员会令第7号）中的规定，本项目不属于其中鼓励类、限制类及淘汰类行业，为允许类。</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lang w:val="en-US" w:eastAsia="zh-CN"/>
              </w:rPr>
              <w:t>2</w:t>
            </w:r>
            <w:r>
              <w:rPr>
                <w:rFonts w:hint="default"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对照</w:t>
            </w:r>
            <w:r>
              <w:rPr>
                <w:rFonts w:hint="default" w:ascii="Times New Roman" w:hAnsi="Times New Roman" w:eastAsia="宋体" w:cs="Times New Roman"/>
                <w:color w:val="auto"/>
                <w:kern w:val="0"/>
                <w:sz w:val="24"/>
                <w:highlight w:val="none"/>
                <w:lang w:val="en-US" w:eastAsia="zh-CN"/>
              </w:rPr>
              <w:t>《</w:t>
            </w:r>
            <w:r>
              <w:rPr>
                <w:rFonts w:hint="default" w:ascii="Times New Roman" w:hAnsi="Times New Roman" w:eastAsia="宋体" w:cs="Times New Roman"/>
                <w:color w:val="auto"/>
                <w:kern w:val="0"/>
                <w:sz w:val="24"/>
                <w:highlight w:val="none"/>
              </w:rPr>
              <w:t>部分工业行业淘汰落后生产工艺装备的产品指导目录（2010本）》（工产业</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sz w:val="24"/>
                <w:szCs w:val="24"/>
                <w:highlight w:val="none"/>
                <w:lang w:val="en-US" w:eastAsia="zh-CN"/>
              </w:rPr>
              <w:t>2010</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color w:val="auto"/>
                <w:kern w:val="0"/>
                <w:sz w:val="24"/>
                <w:highlight w:val="none"/>
              </w:rPr>
              <w:t>第122号），本项目不</w:t>
            </w:r>
            <w:r>
              <w:rPr>
                <w:rFonts w:hint="default" w:ascii="Times New Roman" w:hAnsi="Times New Roman" w:eastAsia="宋体" w:cs="Times New Roman"/>
                <w:color w:val="auto"/>
                <w:kern w:val="0"/>
                <w:sz w:val="24"/>
                <w:highlight w:val="none"/>
                <w:lang w:val="en-US" w:eastAsia="zh-CN"/>
              </w:rPr>
              <w:t>涉及</w:t>
            </w:r>
            <w:r>
              <w:rPr>
                <w:rFonts w:hint="default" w:ascii="Times New Roman" w:hAnsi="Times New Roman" w:eastAsia="宋体" w:cs="Times New Roman"/>
                <w:color w:val="auto"/>
                <w:kern w:val="0"/>
                <w:sz w:val="24"/>
                <w:highlight w:val="none"/>
              </w:rPr>
              <w:t>淘汰落后生产工艺装备</w:t>
            </w:r>
            <w:r>
              <w:rPr>
                <w:rFonts w:hint="default" w:ascii="Times New Roman" w:hAnsi="Times New Roman" w:eastAsia="宋体" w:cs="Times New Roman"/>
                <w:color w:val="auto"/>
                <w:kern w:val="0"/>
                <w:sz w:val="24"/>
                <w:highlight w:val="none"/>
                <w:lang w:val="en-US" w:eastAsia="zh-CN"/>
              </w:rPr>
              <w:t>及</w:t>
            </w:r>
            <w:r>
              <w:rPr>
                <w:rFonts w:hint="default" w:ascii="Times New Roman" w:hAnsi="Times New Roman" w:eastAsia="宋体" w:cs="Times New Roman"/>
                <w:color w:val="auto"/>
                <w:kern w:val="0"/>
                <w:sz w:val="24"/>
                <w:highlight w:val="none"/>
              </w:rPr>
              <w:t>产品</w:t>
            </w:r>
            <w:r>
              <w:rPr>
                <w:rFonts w:hint="default" w:ascii="Times New Roman" w:hAnsi="Times New Roman" w:eastAsia="宋体" w:cs="Times New Roman"/>
                <w:color w:val="auto"/>
                <w:kern w:val="0"/>
                <w:sz w:val="24"/>
                <w:highlight w:val="none"/>
                <w:lang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highlight w:val="none"/>
                <w:lang w:val="en-US" w:eastAsia="zh-CN"/>
              </w:rPr>
            </w:pPr>
            <w:r>
              <w:rPr>
                <w:rFonts w:hint="default" w:ascii="Times New Roman" w:hAnsi="Times New Roman" w:eastAsia="宋体" w:cs="Times New Roman"/>
                <w:color w:val="auto"/>
                <w:kern w:val="0"/>
                <w:sz w:val="24"/>
                <w:highlight w:val="none"/>
                <w:lang w:val="en-US" w:eastAsia="zh-CN"/>
              </w:rPr>
              <w:t>（3）对照宁夏回族自治区发展改革委工业和信息化厅关于印发《宁夏回族自治区能耗双控产业结构调整指导目录（试行）》的通知（宁发改环资〔2021〕809号），本项目不属于该《目录》中列出的禁止类、限制类和淘汰类项目。</w:t>
            </w:r>
          </w:p>
          <w:p>
            <w:pPr>
              <w:pStyle w:val="49"/>
              <w:keepNext w:val="0"/>
              <w:keepLines w:val="0"/>
              <w:pageBreakBefore w:val="0"/>
              <w:widowControl w:val="0"/>
              <w:kinsoku/>
              <w:wordWrap/>
              <w:overflowPunct/>
              <w:topLinePunct w:val="0"/>
              <w:bidi w:val="0"/>
              <w:adjustRightInd w:val="0"/>
              <w:snapToGrid w:val="0"/>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综上</w:t>
            </w:r>
            <w:r>
              <w:rPr>
                <w:rFonts w:hint="default" w:ascii="Times New Roman" w:hAnsi="Times New Roman" w:eastAsia="宋体" w:cs="Times New Roman"/>
                <w:color w:val="auto"/>
                <w:sz w:val="24"/>
                <w:szCs w:val="24"/>
                <w:highlight w:val="none"/>
                <w:lang w:val="en-US" w:eastAsia="zh-CN"/>
              </w:rPr>
              <w:t>所述</w:t>
            </w:r>
            <w:r>
              <w:rPr>
                <w:rFonts w:hint="default" w:ascii="Times New Roman" w:hAnsi="Times New Roman" w:eastAsia="宋体" w:cs="Times New Roman"/>
                <w:color w:val="auto"/>
                <w:sz w:val="24"/>
                <w:szCs w:val="24"/>
                <w:highlight w:val="none"/>
              </w:rPr>
              <w:t>，本项目建设符合国家及地方产业政策要求。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both"/>
              <w:textAlignment w:val="auto"/>
              <w:rPr>
                <w:rFonts w:hint="default" w:ascii="Times New Roman" w:hAnsi="Times New Roman" w:eastAsia="宋体" w:cs="Times New Roman"/>
                <w:b/>
                <w:bCs/>
                <w:color w:val="auto"/>
                <w:kern w:val="0"/>
                <w:sz w:val="24"/>
                <w:szCs w:val="24"/>
                <w:lang w:val="en-US" w:eastAsia="zh-CN" w:bidi="ar"/>
              </w:rPr>
            </w:pPr>
            <w:r>
              <w:rPr>
                <w:rFonts w:hint="eastAsia" w:cs="Times New Roman"/>
                <w:b/>
                <w:bCs/>
                <w:color w:val="auto"/>
                <w:kern w:val="0"/>
                <w:sz w:val="24"/>
                <w:szCs w:val="24"/>
                <w:lang w:val="en-US" w:eastAsia="zh-CN" w:bidi="ar"/>
              </w:rPr>
              <w:t>2</w:t>
            </w:r>
            <w:r>
              <w:rPr>
                <w:rFonts w:hint="default" w:ascii="Times New Roman" w:hAnsi="Times New Roman" w:eastAsia="宋体" w:cs="Times New Roman"/>
                <w:b/>
                <w:bCs/>
                <w:color w:val="auto"/>
                <w:kern w:val="0"/>
                <w:sz w:val="24"/>
                <w:szCs w:val="24"/>
                <w:lang w:val="en-US" w:eastAsia="zh-CN" w:bidi="ar"/>
              </w:rPr>
              <w:t>、</w:t>
            </w:r>
            <w:r>
              <w:rPr>
                <w:rFonts w:hint="default" w:ascii="Times New Roman" w:hAnsi="Times New Roman" w:eastAsia="宋体" w:cs="Times New Roman"/>
                <w:b/>
                <w:bCs/>
                <w:color w:val="auto"/>
                <w:kern w:val="0"/>
                <w:sz w:val="24"/>
                <w:szCs w:val="24"/>
                <w:lang w:val="en-US" w:eastAsia="zh-CN"/>
              </w:rPr>
              <w:t>与</w:t>
            </w:r>
            <w:r>
              <w:rPr>
                <w:rFonts w:hint="default" w:ascii="Times New Roman" w:hAnsi="Times New Roman" w:eastAsia="宋体" w:cs="Times New Roman"/>
                <w:b/>
                <w:bCs/>
                <w:color w:val="auto"/>
                <w:kern w:val="0"/>
                <w:sz w:val="24"/>
                <w:szCs w:val="24"/>
                <w:lang w:val="en-US" w:eastAsia="zh-CN" w:bidi="ar"/>
              </w:rPr>
              <w:t>《中卫市“一带两廊”生态环境保护专项规划》符合性分析</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针对山川并存、城乡发展不平衡不充分等突出问题，中卫市提出“一带两廊”发展格局，以“一带两廊”空间布局，集聚发展新动能，打破行政区划壁垒，推动城乡一体化发展。</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沿黄生态经济带”以黄河卫宁过境段为轴线，主要涉及迎水桥镇、滨河镇、余丁乡、舟塔乡等18个乡镇。产业发展方面，重点发展功能农业、新型工业以及生态康养产业、全域旅游业、交通物流业等现代服务业，推动低碳发展、绿色发展，打造成为全市产业、人口、功能集聚的核心板块，是中卫特色魅力的展示窗口。城镇建设方面，重点建设太阳梁乡、</w:t>
            </w:r>
            <w:r>
              <w:rPr>
                <w:rFonts w:hint="eastAsia" w:cs="Times New Roman"/>
                <w:color w:val="auto"/>
                <w:kern w:val="0"/>
                <w:sz w:val="24"/>
                <w:szCs w:val="24"/>
                <w:lang w:val="en-US" w:eastAsia="zh-CN" w:bidi="ar"/>
              </w:rPr>
              <w:t>永康镇</w:t>
            </w:r>
            <w:r>
              <w:rPr>
                <w:rFonts w:hint="default" w:ascii="Times New Roman" w:hAnsi="Times New Roman" w:eastAsia="宋体" w:cs="Times New Roman"/>
                <w:color w:val="auto"/>
                <w:kern w:val="0"/>
                <w:sz w:val="24"/>
                <w:szCs w:val="24"/>
                <w:lang w:val="en-US" w:eastAsia="zh-CN" w:bidi="ar"/>
              </w:rPr>
              <w:t>2个中心镇和永康镇、常乐镇、鸣沙镇、迎水桥镇、舟塔乡5个特色小镇，缝合中卫中心城区、中宁城区间隙。空间布局方面，重点推动中卫中心城区与中宁城区一体化发展，通过工业园区整合发展，实现产业连城；通过互联互通交通基础设施建设，实现交通连城；通过一体化统筹布局生态、旅游项目，实现生态连城，联合打造更具竞争力的发展极核。</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4"/>
                <w:szCs w:val="24"/>
                <w:lang w:val="en-US" w:eastAsia="zh-CN" w:bidi="ar"/>
              </w:rPr>
              <w:t>本项目与“沿黄生态经济带”污染防治发展措施符合性分析见表1-1。</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rPr>
            </w:pPr>
            <w:r>
              <w:rPr>
                <w:rFonts w:hint="default" w:ascii="Times New Roman" w:hAnsi="Times New Roman" w:eastAsia="宋体" w:cs="Times New Roman"/>
                <w:b/>
                <w:bCs/>
                <w:color w:val="auto"/>
                <w:kern w:val="0"/>
                <w:sz w:val="21"/>
                <w:szCs w:val="21"/>
                <w:lang w:val="en-US" w:eastAsia="zh-CN" w:bidi="ar"/>
              </w:rPr>
              <w:t>表1-1  本项目“沿黄生态经济带”污染防治发展措施的符合性分析</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862"/>
              <w:gridCol w:w="3208"/>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序号</w:t>
                  </w:r>
                </w:p>
              </w:tc>
              <w:tc>
                <w:tcPr>
                  <w:tcW w:w="3862"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污染防治发展措施</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本项目建设情况</w:t>
                  </w:r>
                </w:p>
              </w:tc>
              <w:tc>
                <w:tcPr>
                  <w:tcW w:w="709"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1</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大气污染防治：</w:t>
                  </w:r>
                  <w:r>
                    <w:rPr>
                      <w:rFonts w:hint="default" w:ascii="Times New Roman" w:hAnsi="Times New Roman" w:eastAsia="宋体" w:cs="Times New Roman"/>
                      <w:color w:val="auto"/>
                      <w:kern w:val="0"/>
                      <w:sz w:val="21"/>
                      <w:szCs w:val="21"/>
                      <w:lang w:val="en-US" w:eastAsia="zh-CN" w:bidi="ar"/>
                    </w:rPr>
                    <w:t>全部关停中心城区集中供热区分散燃煤锅炉，禁止城市餐饮业原煤散烧，使用电力、液化天然气等清洁能源，加强油烟污染治理；加大园区工业企业达标排放治理，严格落实重点排污行业各生产环节的抑尘措施，全面完成火电行业超低排放改造，实施冶金、水泥重点行业脱硫脱硝除尘提标改造；积极实行废旧机动车和尾气超标车辆淘汰制度。逐步提高公共交通出行比例，保障非机动交通方式的优势地位。</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本项目废气污染因子主要为颗粒物，通过设置配料机防静电挡尘帘及搅拌机配套的布袋除尘机、</w:t>
                  </w:r>
                  <w:r>
                    <w:rPr>
                      <w:rFonts w:hint="default" w:ascii="Times New Roman" w:hAnsi="Times New Roman" w:eastAsia="宋体" w:cs="Times New Roman"/>
                      <w:b w:val="0"/>
                      <w:bCs w:val="0"/>
                      <w:color w:val="auto"/>
                      <w:kern w:val="2"/>
                      <w:sz w:val="21"/>
                      <w:szCs w:val="21"/>
                      <w:lang w:val="en-US" w:eastAsia="zh-CN" w:bidi="ar-SA"/>
                    </w:rPr>
                    <w:t>水泥、粉煤灰筒仓顶部配套</w:t>
                  </w:r>
                  <w:r>
                    <w:rPr>
                      <w:rFonts w:hint="eastAsia" w:ascii="Times New Roman" w:hAnsi="Times New Roman" w:cs="Times New Roman"/>
                      <w:b w:val="0"/>
                      <w:bCs w:val="0"/>
                      <w:color w:val="auto"/>
                      <w:kern w:val="2"/>
                      <w:sz w:val="21"/>
                      <w:szCs w:val="21"/>
                      <w:lang w:val="en-US" w:eastAsia="zh-CN" w:bidi="ar-SA"/>
                    </w:rPr>
                    <w:t>脉冲袋式除尘机</w:t>
                  </w:r>
                  <w:r>
                    <w:rPr>
                      <w:rFonts w:hint="default" w:ascii="Times New Roman" w:hAnsi="Times New Roman" w:eastAsia="宋体" w:cs="Times New Roman"/>
                      <w:b w:val="0"/>
                      <w:bCs w:val="0"/>
                      <w:color w:val="auto"/>
                      <w:kern w:val="2"/>
                      <w:sz w:val="21"/>
                      <w:szCs w:val="21"/>
                      <w:lang w:val="en-US" w:eastAsia="zh-CN" w:bidi="ar-SA"/>
                    </w:rPr>
                    <w:t>收集处理后排放。同时，针对</w:t>
                  </w:r>
                  <w:r>
                    <w:rPr>
                      <w:rFonts w:hint="eastAsia" w:ascii="Times New Roman" w:hAnsi="Times New Roman"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粉尘和汽车运输扬尘，采取防尘网全覆盖、道路洒水和进出厂车辆冲洗等措施。采取通过上述环保措施，</w:t>
                  </w:r>
                  <w:r>
                    <w:rPr>
                      <w:rFonts w:hint="default" w:ascii="Times New Roman" w:hAnsi="Times New Roman" w:eastAsia="宋体" w:cs="Times New Roman"/>
                      <w:color w:val="auto"/>
                      <w:kern w:val="0"/>
                      <w:sz w:val="21"/>
                      <w:szCs w:val="21"/>
                      <w:lang w:val="en-US" w:eastAsia="zh-CN" w:bidi="ar"/>
                    </w:rPr>
                    <w:t>可减轻本项目无组织排放颗粒物对大气环境的影响。</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2</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水污染防治：</w:t>
                  </w:r>
                  <w:r>
                    <w:rPr>
                      <w:rFonts w:hint="default" w:ascii="Times New Roman" w:hAnsi="Times New Roman" w:eastAsia="宋体" w:cs="Times New Roman"/>
                      <w:color w:val="auto"/>
                      <w:kern w:val="0"/>
                      <w:sz w:val="21"/>
                      <w:szCs w:val="21"/>
                      <w:lang w:val="en-US" w:eastAsia="zh-CN" w:bidi="ar"/>
                    </w:rPr>
                    <w:t>持续推进河湖长制，强化黄河干支流优良水体保护，有效提高辖区水环境质量。重点加强饮用水水源地的环境保护，开展饮用水水源环境保护规范化建设，依法清理饮用水水源保护区内违法建筑和排污口。</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color w:val="auto"/>
                      <w:kern w:val="0"/>
                      <w:sz w:val="21"/>
                      <w:szCs w:val="21"/>
                      <w:lang w:val="en-US" w:eastAsia="zh-CN" w:bidi="ar"/>
                    </w:rPr>
                    <w:t>本项目车辆冲洗废水</w:t>
                  </w:r>
                  <w:r>
                    <w:rPr>
                      <w:rFonts w:hint="eastAsia" w:ascii="Times New Roman" w:hAnsi="Times New Roman" w:cs="Times New Roman"/>
                      <w:color w:val="auto"/>
                      <w:kern w:val="0"/>
                      <w:sz w:val="21"/>
                      <w:szCs w:val="21"/>
                      <w:lang w:val="en-US" w:eastAsia="zh-CN" w:bidi="ar"/>
                    </w:rPr>
                    <w:t>及搅拌机清洗废水</w:t>
                  </w:r>
                  <w:r>
                    <w:rPr>
                      <w:rFonts w:hint="default" w:ascii="Times New Roman" w:hAnsi="Times New Roman" w:eastAsia="宋体" w:cs="Times New Roman"/>
                      <w:color w:val="auto"/>
                      <w:kern w:val="0"/>
                      <w:sz w:val="21"/>
                      <w:szCs w:val="21"/>
                      <w:lang w:val="en-US" w:eastAsia="zh-CN" w:bidi="ar"/>
                    </w:rPr>
                    <w:t>回用于厂区道路洒水抑尘，不外排；</w:t>
                  </w:r>
                  <w:r>
                    <w:rPr>
                      <w:rFonts w:hint="default" w:ascii="Times New Roman" w:hAnsi="Times New Roman" w:eastAsia="宋体" w:cs="Times New Roman"/>
                      <w:color w:val="auto"/>
                      <w:sz w:val="21"/>
                      <w:szCs w:val="21"/>
                      <w:highlight w:val="none"/>
                    </w:rPr>
                    <w:t>生活污水</w:t>
                  </w:r>
                  <w:r>
                    <w:rPr>
                      <w:rFonts w:hint="default" w:ascii="Times New Roman" w:hAnsi="Times New Roman" w:eastAsia="宋体" w:cs="Times New Roman"/>
                      <w:color w:val="auto"/>
                      <w:sz w:val="21"/>
                      <w:szCs w:val="21"/>
                      <w:highlight w:val="none"/>
                      <w:lang w:val="en-US" w:eastAsia="zh-CN"/>
                    </w:rPr>
                    <w:t>经旱厕堆肥后还田；厂区道路洒水自然蒸发。因此，项目无废水直接外排，对区域水环境影响很小。</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color w:val="auto"/>
                      <w:sz w:val="21"/>
                      <w:szCs w:val="21"/>
                      <w:vertAlign w:val="baseline"/>
                      <w:lang w:val="en-US" w:eastAsia="zh-CN"/>
                    </w:rPr>
                  </w:pPr>
                  <w:r>
                    <w:rPr>
                      <w:rFonts w:hint="default" w:ascii="Times New Roman" w:hAnsi="Times New Roman" w:eastAsia="宋体" w:cs="Times New Roman"/>
                      <w:b/>
                      <w:color w:val="auto"/>
                      <w:sz w:val="21"/>
                      <w:szCs w:val="21"/>
                      <w:vertAlign w:val="baseline"/>
                      <w:lang w:val="en-US" w:eastAsia="zh-CN"/>
                    </w:rPr>
                    <w:t>3</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bCs/>
                      <w:color w:val="auto"/>
                      <w:kern w:val="0"/>
                      <w:sz w:val="21"/>
                      <w:szCs w:val="21"/>
                      <w:lang w:val="en-US" w:eastAsia="zh-CN" w:bidi="ar"/>
                    </w:rPr>
                    <w:t>土壤环境污染防治：</w:t>
                  </w:r>
                  <w:r>
                    <w:rPr>
                      <w:rFonts w:hint="default" w:ascii="Times New Roman" w:hAnsi="Times New Roman" w:eastAsia="宋体" w:cs="Times New Roman"/>
                      <w:color w:val="auto"/>
                      <w:kern w:val="0"/>
                      <w:sz w:val="21"/>
                      <w:szCs w:val="21"/>
                      <w:lang w:val="en-US" w:eastAsia="zh-CN" w:bidi="ar"/>
                    </w:rPr>
                    <w:t>突出重点区域、行业和污染物，建立分类别、分用途监管机制，严控新增污染、逐步减少存量。</w:t>
                  </w:r>
                </w:p>
              </w:tc>
              <w:tc>
                <w:tcPr>
                  <w:tcW w:w="3208" w:type="dxa"/>
                  <w:noWrap w:val="0"/>
                  <w:vAlign w:val="center"/>
                </w:tcPr>
                <w:p>
                  <w:pPr>
                    <w:pStyle w:val="20"/>
                    <w:keepNext w:val="0"/>
                    <w:keepLines w:val="0"/>
                    <w:pageBreakBefore w:val="0"/>
                    <w:kinsoku/>
                    <w:wordWrap/>
                    <w:overflowPunct/>
                    <w:topLinePunct w:val="0"/>
                    <w:autoSpaceDE/>
                    <w:autoSpaceDN/>
                    <w:bidi w:val="0"/>
                    <w:adjustRightInd w:val="0"/>
                    <w:snapToGrid w:val="0"/>
                    <w:spacing w:line="240" w:lineRule="auto"/>
                    <w:ind w:right="0" w:firstLine="420" w:firstLineChars="200"/>
                    <w:jc w:val="both"/>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本项目厂区地面采用碎石铺设，旱厕及沉淀池防渗处理；厂区周边种植具有较强吸附能力的植物；定期清扫道路，做好设备维护工作，</w:t>
                  </w:r>
                  <w:r>
                    <w:rPr>
                      <w:rFonts w:hint="default" w:ascii="Times New Roman" w:hAnsi="Times New Roman" w:eastAsia="宋体" w:cs="Times New Roman"/>
                      <w:color w:val="auto"/>
                      <w:kern w:val="0"/>
                      <w:sz w:val="21"/>
                      <w:szCs w:val="21"/>
                      <w:lang w:val="en-US" w:eastAsia="zh-CN" w:bidi="ar"/>
                    </w:rPr>
                    <w:t>在正常运行过程中不会对土壤环境造成污染</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77"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default" w:ascii="Times New Roman" w:hAnsi="Times New Roman" w:eastAsia="宋体" w:cs="Times New Roman"/>
                      <w:b/>
                      <w:color w:val="auto"/>
                      <w:kern w:val="0"/>
                      <w:sz w:val="21"/>
                      <w:szCs w:val="21"/>
                      <w:vertAlign w:val="baseline"/>
                      <w:lang w:val="en-US" w:eastAsia="zh-CN" w:bidi="ar-SA"/>
                    </w:rPr>
                  </w:pPr>
                  <w:r>
                    <w:rPr>
                      <w:rFonts w:hint="default" w:ascii="Times New Roman" w:hAnsi="Times New Roman" w:eastAsia="宋体" w:cs="Times New Roman"/>
                      <w:b/>
                      <w:color w:val="auto"/>
                      <w:sz w:val="21"/>
                      <w:szCs w:val="21"/>
                      <w:vertAlign w:val="baseline"/>
                      <w:lang w:val="en-US" w:eastAsia="zh-CN"/>
                    </w:rPr>
                    <w:t>4</w:t>
                  </w:r>
                </w:p>
              </w:tc>
              <w:tc>
                <w:tcPr>
                  <w:tcW w:w="38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2" w:firstLineChars="200"/>
                    <w:jc w:val="both"/>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bCs/>
                      <w:color w:val="auto"/>
                      <w:kern w:val="0"/>
                      <w:sz w:val="21"/>
                      <w:szCs w:val="21"/>
                      <w:lang w:val="en-US" w:eastAsia="zh-CN" w:bidi="ar"/>
                    </w:rPr>
                    <w:t>固体废弃物污染防治：</w:t>
                  </w:r>
                  <w:r>
                    <w:rPr>
                      <w:rFonts w:hint="default" w:ascii="Times New Roman" w:hAnsi="Times New Roman" w:eastAsia="宋体" w:cs="Times New Roman"/>
                      <w:color w:val="auto"/>
                      <w:kern w:val="0"/>
                      <w:sz w:val="21"/>
                      <w:szCs w:val="21"/>
                      <w:lang w:val="en-US" w:eastAsia="zh-CN" w:bidi="ar"/>
                    </w:rPr>
                    <w:t>加大历史堆存的工业固体废物无害化处置力度，支持大掺量利用固体废物应用技术的研发和产业化，引培规模化和产品多元化的大宗工业固体废物综合利用企业。</w:t>
                  </w:r>
                </w:p>
              </w:tc>
              <w:tc>
                <w:tcPr>
                  <w:tcW w:w="3208" w:type="dxa"/>
                  <w:noWrap w:val="0"/>
                  <w:vAlign w:val="center"/>
                </w:tcPr>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right="0" w:firstLine="420" w:firstLineChars="200"/>
                    <w:jc w:val="both"/>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val="0"/>
                      <w:bCs/>
                      <w:color w:val="auto"/>
                      <w:kern w:val="0"/>
                      <w:sz w:val="21"/>
                      <w:szCs w:val="21"/>
                      <w:vertAlign w:val="baseline"/>
                      <w:lang w:val="en-US" w:eastAsia="zh-CN" w:bidi="ar-SA"/>
                    </w:rPr>
                    <w:t>项目利用粉煤灰生产混凝土，为固体废物综合利用项目。同时，项目运营周期内各固体废物均妥善处置利用，对周边环境影响很小。</w:t>
                  </w:r>
                </w:p>
              </w:tc>
              <w:tc>
                <w:tcPr>
                  <w:tcW w:w="70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default" w:ascii="Times New Roman" w:hAnsi="Times New Roman" w:eastAsia="宋体" w:cs="Times New Roman"/>
                      <w:b w:val="0"/>
                      <w:bCs/>
                      <w:color w:val="auto"/>
                      <w:kern w:val="0"/>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符合</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firstLine="400" w:firstLineChars="200"/>
              <w:jc w:val="left"/>
              <w:textAlignment w:val="auto"/>
              <w:rPr>
                <w:rFonts w:hint="default" w:ascii="Times New Roman" w:hAnsi="Times New Roman" w:eastAsia="宋体" w:cs="Times New Roman"/>
                <w:color w:val="auto"/>
                <w:kern w:val="0"/>
                <w:sz w:val="20"/>
                <w:szCs w:val="20"/>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本项目位于中卫市沙坡头区</w:t>
            </w:r>
            <w:r>
              <w:rPr>
                <w:rFonts w:hint="eastAsia" w:cs="Times New Roman"/>
                <w:color w:val="auto"/>
                <w:kern w:val="0"/>
                <w:sz w:val="24"/>
                <w:szCs w:val="24"/>
                <w:lang w:val="en-US" w:eastAsia="zh-CN" w:bidi="ar"/>
              </w:rPr>
              <w:t>永康镇</w:t>
            </w:r>
            <w:r>
              <w:rPr>
                <w:rFonts w:hint="default" w:ascii="Times New Roman" w:hAnsi="Times New Roman" w:eastAsia="宋体" w:cs="Times New Roman"/>
                <w:color w:val="auto"/>
                <w:kern w:val="0"/>
                <w:sz w:val="24"/>
                <w:szCs w:val="24"/>
                <w:lang w:val="en-US" w:eastAsia="zh-CN" w:bidi="ar"/>
              </w:rPr>
              <w:t>，属于“一带两廊”中</w:t>
            </w:r>
            <w:r>
              <w:rPr>
                <w:rFonts w:hint="default" w:ascii="Times New Roman" w:hAnsi="Times New Roman" w:eastAsia="宋体" w:cs="Times New Roman"/>
                <w:b/>
                <w:bCs/>
                <w:color w:val="auto"/>
                <w:kern w:val="0"/>
                <w:sz w:val="24"/>
                <w:szCs w:val="24"/>
                <w:lang w:val="en-US" w:eastAsia="zh-CN" w:bidi="ar"/>
              </w:rPr>
              <w:t>“沿黄生态经济带”</w:t>
            </w:r>
            <w:r>
              <w:rPr>
                <w:rFonts w:hint="default" w:ascii="Times New Roman" w:hAnsi="Times New Roman" w:eastAsia="宋体" w:cs="Times New Roman"/>
                <w:color w:val="auto"/>
                <w:kern w:val="0"/>
                <w:sz w:val="24"/>
                <w:szCs w:val="24"/>
                <w:lang w:val="en-US" w:eastAsia="zh-CN" w:bidi="ar"/>
              </w:rPr>
              <w:t>区域。按照习近平总书记“节水优先、空间均衡、系统治理、两手发力”的治水方针以及黄河流域生态保护和高质量发展的目标任务要求，全面开展七星渠灌域现代化改造，进一步提高灌区水土资源利用效率和农业综合生产能力。本项目建设临时混凝土拌合站服务于</w:t>
            </w:r>
            <w:r>
              <w:rPr>
                <w:rFonts w:hint="eastAsia" w:cs="Times New Roman"/>
                <w:color w:val="auto"/>
                <w:kern w:val="0"/>
                <w:sz w:val="24"/>
                <w:szCs w:val="24"/>
                <w:lang w:val="en-US" w:eastAsia="zh-CN" w:bidi="ar"/>
              </w:rPr>
              <w:t>沙坡头灌区七星渠灌域续建配套与现代化改造工程1标段</w:t>
            </w:r>
            <w:r>
              <w:rPr>
                <w:rFonts w:hint="default" w:ascii="Times New Roman" w:hAnsi="Times New Roman" w:eastAsia="宋体" w:cs="Times New Roman"/>
                <w:color w:val="auto"/>
                <w:kern w:val="0"/>
                <w:sz w:val="24"/>
                <w:szCs w:val="24"/>
                <w:lang w:val="en-US" w:eastAsia="zh-CN" w:bidi="ar"/>
              </w:rPr>
              <w:t>，对促进生态文明建设，发展水利基础建设具有重要意义。同时，本项在落实环评提出的相应环境保护措施后，对周边环境影响较小。本项目与沿黄生态经济带规划范围位置关系见附图1。</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综上所述，本项目建设符合</w:t>
            </w:r>
            <w:r>
              <w:rPr>
                <w:rFonts w:hint="default" w:ascii="Times New Roman" w:hAnsi="Times New Roman" w:eastAsia="宋体" w:cs="Times New Roman"/>
                <w:b w:val="0"/>
                <w:bCs w:val="0"/>
                <w:color w:val="auto"/>
                <w:kern w:val="0"/>
                <w:sz w:val="24"/>
                <w:szCs w:val="24"/>
                <w:lang w:val="en-US" w:eastAsia="zh-CN" w:bidi="ar"/>
              </w:rPr>
              <w:t>《中卫市“一带两廊”生态环境保护专项规划》要求。</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482" w:firstLineChars="200"/>
              <w:textAlignment w:val="auto"/>
              <w:rPr>
                <w:rFonts w:hint="eastAsia" w:ascii="Times New Roman" w:hAnsi="Times New Roman" w:eastAsia="宋体" w:cs="Times New Roman"/>
                <w:b/>
                <w:bCs/>
                <w:color w:val="auto"/>
                <w:kern w:val="0"/>
                <w:sz w:val="24"/>
                <w:szCs w:val="24"/>
                <w:lang w:val="en-US" w:eastAsia="zh-CN" w:bidi="ar"/>
              </w:rPr>
            </w:pPr>
            <w:r>
              <w:rPr>
                <w:rFonts w:hint="eastAsia" w:cs="Times New Roman"/>
                <w:b/>
                <w:bCs/>
                <w:color w:val="auto"/>
                <w:kern w:val="0"/>
                <w:sz w:val="24"/>
                <w:szCs w:val="24"/>
                <w:lang w:val="en-US" w:eastAsia="zh-CN" w:bidi="ar"/>
              </w:rPr>
              <w:t>3</w:t>
            </w:r>
            <w:r>
              <w:rPr>
                <w:rFonts w:hint="default" w:ascii="Times New Roman" w:hAnsi="Times New Roman" w:eastAsia="宋体" w:cs="Times New Roman"/>
                <w:b/>
                <w:bCs/>
                <w:color w:val="auto"/>
                <w:kern w:val="0"/>
                <w:sz w:val="24"/>
                <w:szCs w:val="24"/>
                <w:lang w:val="en-US" w:eastAsia="zh-CN" w:bidi="ar"/>
              </w:rPr>
              <w:t>、</w:t>
            </w:r>
            <w:r>
              <w:rPr>
                <w:rFonts w:hint="eastAsia" w:ascii="Times New Roman" w:hAnsi="Times New Roman" w:eastAsia="宋体" w:cs="Times New Roman"/>
                <w:b/>
                <w:bCs/>
                <w:color w:val="auto"/>
                <w:kern w:val="0"/>
                <w:sz w:val="24"/>
                <w:szCs w:val="24"/>
                <w:lang w:val="en-US" w:eastAsia="zh-CN" w:bidi="ar"/>
              </w:rPr>
              <w:t>与《粉煤灰综合利用管理办法》（</w:t>
            </w:r>
            <w:r>
              <w:rPr>
                <w:rFonts w:hint="default" w:ascii="Times New Roman" w:hAnsi="Times New Roman" w:eastAsia="宋体" w:cs="Times New Roman"/>
                <w:b/>
                <w:bCs/>
                <w:color w:val="auto"/>
                <w:kern w:val="0"/>
                <w:sz w:val="24"/>
                <w:szCs w:val="24"/>
                <w:lang w:val="en-US" w:eastAsia="zh-CN" w:bidi="ar"/>
              </w:rPr>
              <w:t>2013年1月5日国家发展改革委员会等部令第19号公布,自2013年3月1日起施行</w:t>
            </w:r>
            <w:r>
              <w:rPr>
                <w:rFonts w:hint="eastAsia" w:ascii="Times New Roman" w:hAnsi="Times New Roman" w:eastAsia="宋体" w:cs="Times New Roman"/>
                <w:b/>
                <w:bCs/>
                <w:color w:val="auto"/>
                <w:kern w:val="0"/>
                <w:sz w:val="24"/>
                <w:szCs w:val="24"/>
                <w:lang w:val="en-US" w:eastAsia="zh-CN" w:bidi="ar"/>
              </w:rPr>
              <w:t>）</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粉煤灰综合利用管理办法》中第十九条“鼓励在具备条件的建筑、筑路等工程中使用符合国家或行业质量标准的粉煤灰及其制品”。本项目以粉煤灰为原料生产混凝土，符合粉煤灰综合利用管理办法中相关条款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color w:val="auto"/>
                <w:sz w:val="24"/>
                <w:szCs w:val="24"/>
                <w:u w:val="none"/>
                <w:lang w:val="en-US" w:eastAsia="zh-CN"/>
              </w:rPr>
            </w:pP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w:t>
            </w:r>
            <w:r>
              <w:rPr>
                <w:rFonts w:hint="default" w:ascii="Times New Roman" w:hAnsi="Times New Roman" w:eastAsia="宋体" w:cs="Times New Roman"/>
                <w:b/>
                <w:bCs/>
                <w:color w:val="auto"/>
                <w:sz w:val="24"/>
                <w:szCs w:val="24"/>
                <w:highlight w:val="none"/>
                <w:u w:val="none"/>
                <w:lang w:val="en-US" w:eastAsia="zh-CN"/>
              </w:rPr>
              <w:t>“三线一单”符合性分析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2" w:firstLineChars="200"/>
              <w:jc w:val="left"/>
              <w:textAlignment w:val="auto"/>
              <w:rPr>
                <w:rFonts w:hint="default" w:ascii="Times New Roman" w:hAnsi="Times New Roman" w:eastAsia="宋体" w:cs="Times New Roman"/>
                <w:color w:val="auto"/>
                <w:sz w:val="24"/>
                <w:szCs w:val="24"/>
                <w:u w:val="none"/>
                <w:lang w:val="en-US" w:eastAsia="zh-CN"/>
              </w:rPr>
            </w:pPr>
            <w:r>
              <w:rPr>
                <w:rFonts w:hint="default" w:ascii="Times New Roman" w:hAnsi="Times New Roman" w:eastAsia="宋体" w:cs="Times New Roman"/>
                <w:b/>
                <w:bCs/>
                <w:color w:val="auto"/>
                <w:kern w:val="0"/>
                <w:sz w:val="24"/>
                <w:szCs w:val="24"/>
                <w:lang w:val="en-US" w:eastAsia="zh-CN" w:bidi="ar-SA"/>
              </w:rPr>
              <w:t>（1）生态保护红线及生态分区管控</w:t>
            </w:r>
          </w:p>
          <w:p>
            <w:pPr>
              <w:pStyle w:val="16"/>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u w:val="none"/>
                <w:lang w:val="en-US" w:eastAsia="zh-CN"/>
              </w:rPr>
            </w:pPr>
            <w:r>
              <w:rPr>
                <w:rFonts w:hint="default" w:ascii="Times New Roman" w:hAnsi="Times New Roman" w:eastAsia="宋体" w:cs="Times New Roman"/>
                <w:b/>
                <w:bCs/>
                <w:color w:val="auto"/>
                <w:sz w:val="24"/>
                <w:szCs w:val="24"/>
                <w:highlight w:val="none"/>
                <w:u w:val="none"/>
                <w:lang w:val="en-US" w:eastAsia="zh-CN"/>
              </w:rPr>
              <w:t>①生态保护红线</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衔接落实《宁夏回族自治区生态保护红线》（宁政发〔2018〕23号），基于生态保护红线划定评估工作，以生态系统功能极重要区和重要区、生态环境极敏感区和敏感区为重点，衔接自治区级及以上自然保护区，县级及以上饮用水水源保护区，自治区级及以上风景名胜区、湿地公园、森林公园、地质公园，国家级水产种质资源保护区，国家级生态公益林等各类自然保护地和其他保护区域，衔接相关规划及经济社会发展需求，划定生态保护红线面积约为3179.06k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，占全市国土总面积的23.29%。</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eastAsia" w:cs="Times New Roman"/>
                <w:color w:val="auto"/>
                <w:sz w:val="24"/>
                <w:szCs w:val="24"/>
                <w:highlight w:val="none"/>
                <w:lang w:eastAsia="zh-CN"/>
              </w:rPr>
              <w:t>本项目位于宁夏回族自治区中卫市沙坡头区永康镇宁夏中卫富贵养牛厂闲置空地</w:t>
            </w:r>
            <w:r>
              <w:rPr>
                <w:rFonts w:hint="default" w:ascii="Times New Roman" w:hAnsi="Times New Roman" w:eastAsia="宋体" w:cs="Times New Roman"/>
                <w:color w:val="auto"/>
                <w:kern w:val="0"/>
                <w:sz w:val="24"/>
                <w:szCs w:val="24"/>
                <w:u w:val="none"/>
                <w:lang w:val="en-US" w:eastAsia="zh-CN" w:bidi="ar"/>
              </w:rPr>
              <w:t>，不涉及</w:t>
            </w:r>
            <w:r>
              <w:rPr>
                <w:rFonts w:hint="default" w:ascii="Times New Roman" w:hAnsi="Times New Roman" w:eastAsia="宋体" w:cs="Times New Roman"/>
                <w:color w:val="auto"/>
                <w:kern w:val="0"/>
                <w:sz w:val="24"/>
                <w:szCs w:val="24"/>
                <w:lang w:val="en-US" w:eastAsia="zh-CN" w:bidi="ar"/>
              </w:rPr>
              <w:t>自然保护区、湿地公园、森林公园以及水源地等</w:t>
            </w:r>
            <w:r>
              <w:rPr>
                <w:rFonts w:hint="default" w:ascii="Times New Roman" w:hAnsi="Times New Roman" w:eastAsia="宋体" w:cs="Times New Roman"/>
                <w:color w:val="auto"/>
                <w:kern w:val="0"/>
                <w:sz w:val="24"/>
                <w:szCs w:val="24"/>
                <w:u w:val="none"/>
                <w:lang w:val="en-US" w:eastAsia="zh-CN" w:bidi="ar"/>
              </w:rPr>
              <w:t>其他环境敏感区。与</w:t>
            </w:r>
            <w:r>
              <w:rPr>
                <w:rFonts w:hint="default" w:ascii="Times New Roman" w:hAnsi="Times New Roman" w:eastAsia="宋体" w:cs="Times New Roman"/>
                <w:color w:val="auto"/>
                <w:kern w:val="0"/>
                <w:sz w:val="24"/>
                <w:szCs w:val="24"/>
                <w:lang w:val="en-US" w:eastAsia="zh-CN" w:bidi="ar"/>
              </w:rPr>
              <w:t>《中卫市人民政府关于实施“三线一单”生态环境分区管控的意见》（卫政规发〔2021〕31号）生态空间图和生态保护红线图对比可知，</w:t>
            </w:r>
            <w:r>
              <w:rPr>
                <w:rFonts w:hint="default" w:ascii="Times New Roman" w:hAnsi="Times New Roman" w:eastAsia="宋体" w:cs="Times New Roman"/>
                <w:color w:val="auto"/>
                <w:kern w:val="0"/>
                <w:sz w:val="24"/>
                <w:szCs w:val="24"/>
                <w:u w:val="none"/>
                <w:lang w:val="en-US" w:eastAsia="zh-CN" w:bidi="ar"/>
              </w:rPr>
              <w:t>本项目不涉及生态红线保护范围，符合生态红线保护要求。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kern w:val="0"/>
                <w:sz w:val="24"/>
                <w:szCs w:val="24"/>
                <w:u w:val="none"/>
                <w:lang w:val="en-US" w:eastAsia="zh-CN" w:bidi="ar"/>
              </w:rPr>
              <w:t>本项目与中卫市生态保护红线位置关系见附图2。</w:t>
            </w:r>
          </w:p>
          <w:p>
            <w:pPr>
              <w:pStyle w:val="16"/>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u w:val="none"/>
                <w:lang w:val="en-US" w:eastAsia="zh-CN" w:bidi="ar"/>
              </w:rPr>
            </w:pPr>
            <w:r>
              <w:rPr>
                <w:rFonts w:hint="default" w:ascii="Times New Roman" w:hAnsi="Times New Roman" w:eastAsia="宋体" w:cs="Times New Roman"/>
                <w:b/>
                <w:bCs/>
                <w:color w:val="auto"/>
                <w:kern w:val="0"/>
                <w:sz w:val="24"/>
                <w:szCs w:val="24"/>
                <w:u w:val="none"/>
                <w:lang w:val="en-US" w:eastAsia="zh-CN" w:bidi="ar"/>
              </w:rPr>
              <w:t>②中卫市环境管控单元</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w:t>
            </w:r>
            <w:r>
              <w:rPr>
                <w:rFonts w:hint="default" w:ascii="Times New Roman" w:hAnsi="Times New Roman" w:eastAsia="宋体" w:cs="Times New Roman"/>
                <w:color w:val="auto"/>
                <w:kern w:val="0"/>
                <w:sz w:val="24"/>
                <w:szCs w:val="24"/>
                <w:lang w:val="en-US" w:eastAsia="zh-CN" w:bidi="ar"/>
              </w:rPr>
              <w:t>《中卫市人民政府关于实施“三线一单”生态环境分区管控的意见》（卫政规发〔2021〕31号）</w:t>
            </w:r>
            <w:r>
              <w:rPr>
                <w:rFonts w:hint="default" w:ascii="Times New Roman" w:hAnsi="Times New Roman" w:eastAsia="宋体" w:cs="Times New Roman"/>
                <w:color w:val="auto"/>
                <w:sz w:val="24"/>
                <w:szCs w:val="24"/>
                <w:highlight w:val="none"/>
              </w:rPr>
              <w:t>及《</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市“三线一单”编制文本》，</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全市划分优先保护单元、重点管控单元、一般管控单元三大类共计</w:t>
            </w:r>
            <w:r>
              <w:rPr>
                <w:rFonts w:hint="default" w:ascii="Times New Roman" w:hAnsi="Times New Roman" w:eastAsia="宋体" w:cs="Times New Roman"/>
                <w:color w:val="auto"/>
                <w:sz w:val="24"/>
                <w:szCs w:val="24"/>
                <w:highlight w:val="none"/>
                <w:lang w:val="en-US" w:eastAsia="zh-CN"/>
              </w:rPr>
              <w:t>49</w:t>
            </w:r>
            <w:r>
              <w:rPr>
                <w:rFonts w:hint="default" w:ascii="Times New Roman" w:hAnsi="Times New Roman" w:eastAsia="宋体" w:cs="Times New Roman"/>
                <w:color w:val="auto"/>
                <w:sz w:val="24"/>
                <w:szCs w:val="24"/>
                <w:highlight w:val="none"/>
              </w:rPr>
              <w:t>个环境管控单元。</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u w:val="none"/>
                <w:lang w:val="en-US" w:eastAsia="zh-CN" w:bidi="ar"/>
              </w:rPr>
            </w:pPr>
            <w:r>
              <w:rPr>
                <w:rFonts w:hint="default" w:ascii="Times New Roman" w:hAnsi="Times New Roman" w:eastAsia="宋体" w:cs="Times New Roman"/>
                <w:color w:val="auto"/>
                <w:sz w:val="24"/>
                <w:szCs w:val="24"/>
                <w:highlight w:val="none"/>
              </w:rPr>
              <w:t>本项目位于</w:t>
            </w:r>
            <w:r>
              <w:rPr>
                <w:rFonts w:hint="default" w:ascii="Times New Roman" w:hAnsi="Times New Roman" w:eastAsia="宋体" w:cs="Times New Roman"/>
                <w:b/>
                <w:bCs/>
                <w:color w:val="auto"/>
                <w:sz w:val="24"/>
                <w:szCs w:val="24"/>
                <w:highlight w:val="none"/>
                <w:lang w:val="en-US" w:eastAsia="zh-CN"/>
              </w:rPr>
              <w:t>一般</w:t>
            </w:r>
            <w:r>
              <w:rPr>
                <w:rFonts w:hint="default" w:ascii="Times New Roman" w:hAnsi="Times New Roman" w:eastAsia="宋体" w:cs="Times New Roman"/>
                <w:b/>
                <w:bCs/>
                <w:color w:val="auto"/>
                <w:sz w:val="24"/>
                <w:szCs w:val="24"/>
                <w:highlight w:val="none"/>
              </w:rPr>
              <w:t>管控单元</w:t>
            </w:r>
            <w:r>
              <w:rPr>
                <w:rFonts w:hint="default" w:ascii="Times New Roman" w:hAnsi="Times New Roman" w:eastAsia="宋体" w:cs="Times New Roman"/>
                <w:color w:val="auto"/>
                <w:sz w:val="24"/>
                <w:szCs w:val="24"/>
                <w:highlight w:val="none"/>
              </w:rPr>
              <w:t>范围内。</w:t>
            </w:r>
            <w:r>
              <w:rPr>
                <w:rFonts w:hint="default" w:ascii="Times New Roman" w:hAnsi="Times New Roman" w:eastAsia="宋体" w:cs="Times New Roman"/>
                <w:color w:val="auto"/>
                <w:kern w:val="0"/>
                <w:sz w:val="24"/>
                <w:szCs w:val="24"/>
                <w:lang w:val="en-US" w:eastAsia="zh-CN" w:bidi="ar"/>
              </w:rPr>
              <w:t>一般管控单元以适度发展社会经济、避免大规模高强度开发为导向，执行区域生态环境保护的基本要求。本项目不涉及大规模高强度建设内容，对标“沿黄生态经济带”生态环境保护要求。</w:t>
            </w:r>
            <w:r>
              <w:rPr>
                <w:rFonts w:hint="default" w:ascii="Times New Roman" w:hAnsi="Times New Roman" w:eastAsia="宋体" w:cs="Times New Roman"/>
                <w:color w:val="auto"/>
                <w:sz w:val="24"/>
                <w:szCs w:val="24"/>
                <w:highlight w:val="none"/>
              </w:rPr>
              <w:t>本项目与</w:t>
            </w:r>
            <w:r>
              <w:rPr>
                <w:rFonts w:hint="default" w:ascii="Times New Roman" w:hAnsi="Times New Roman" w:eastAsia="宋体" w:cs="Times New Roman"/>
                <w:color w:val="auto"/>
                <w:sz w:val="24"/>
                <w:szCs w:val="24"/>
                <w:highlight w:val="none"/>
                <w:lang w:val="en-US" w:eastAsia="zh-CN"/>
              </w:rPr>
              <w:t>中卫</w:t>
            </w:r>
            <w:r>
              <w:rPr>
                <w:rFonts w:hint="default" w:ascii="Times New Roman" w:hAnsi="Times New Roman" w:eastAsia="宋体" w:cs="Times New Roman"/>
                <w:color w:val="auto"/>
                <w:sz w:val="24"/>
                <w:szCs w:val="24"/>
                <w:highlight w:val="none"/>
              </w:rPr>
              <w:t>市</w:t>
            </w:r>
            <w:r>
              <w:rPr>
                <w:rFonts w:hint="default" w:ascii="Times New Roman" w:hAnsi="Times New Roman" w:eastAsia="宋体" w:cs="Times New Roman"/>
                <w:color w:val="auto"/>
                <w:sz w:val="24"/>
                <w:szCs w:val="24"/>
                <w:highlight w:val="none"/>
                <w:lang w:val="en-US" w:eastAsia="zh-CN"/>
              </w:rPr>
              <w:t>环境</w:t>
            </w:r>
            <w:r>
              <w:rPr>
                <w:rFonts w:hint="default" w:ascii="Times New Roman" w:hAnsi="Times New Roman" w:eastAsia="宋体" w:cs="Times New Roman"/>
                <w:color w:val="auto"/>
                <w:sz w:val="24"/>
                <w:szCs w:val="24"/>
                <w:highlight w:val="none"/>
              </w:rPr>
              <w:t>管控单元位置关系见附图</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w:t>
            </w:r>
          </w:p>
          <w:p>
            <w:pPr>
              <w:pStyle w:val="16"/>
              <w:keepNext w:val="0"/>
              <w:keepLines w:val="0"/>
              <w:pageBreakBefore w:val="0"/>
              <w:numPr>
                <w:ilvl w:val="0"/>
                <w:numId w:val="1"/>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环境质量底线及分区管控</w:t>
            </w:r>
          </w:p>
          <w:p>
            <w:pPr>
              <w:pStyle w:val="16"/>
              <w:keepNext w:val="0"/>
              <w:keepLines w:val="0"/>
              <w:pageBreakBefore w:val="0"/>
              <w:numPr>
                <w:ilvl w:val="0"/>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①大气环境质量底线及分区管控</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w:t>
            </w:r>
            <w:r>
              <w:rPr>
                <w:rFonts w:hint="default" w:ascii="Times New Roman" w:hAnsi="Times New Roman" w:eastAsia="宋体" w:cs="Times New Roman"/>
                <w:color w:val="auto"/>
                <w:sz w:val="24"/>
                <w:szCs w:val="24"/>
                <w:lang w:val="en-US" w:eastAsia="zh-CN"/>
              </w:rPr>
              <w:t>2022</w:t>
            </w:r>
            <w:r>
              <w:rPr>
                <w:rFonts w:hint="default" w:ascii="Times New Roman" w:hAnsi="Times New Roman" w:eastAsia="宋体" w:cs="Times New Roman"/>
                <w:color w:val="auto"/>
                <w:sz w:val="24"/>
                <w:szCs w:val="24"/>
              </w:rPr>
              <w:t>年宁夏生态环境质量</w:t>
            </w:r>
            <w:r>
              <w:rPr>
                <w:rFonts w:hint="default" w:ascii="Times New Roman" w:hAnsi="Times New Roman" w:eastAsia="宋体" w:cs="Times New Roman"/>
                <w:color w:val="auto"/>
                <w:sz w:val="24"/>
                <w:szCs w:val="24"/>
                <w:lang w:val="en-US" w:eastAsia="zh-CN"/>
              </w:rPr>
              <w:t>状况</w:t>
            </w:r>
            <w:r>
              <w:rPr>
                <w:rFonts w:hint="default" w:ascii="Times New Roman" w:hAnsi="Times New Roman" w:eastAsia="宋体" w:cs="Times New Roman"/>
                <w:color w:val="auto"/>
                <w:kern w:val="0"/>
                <w:sz w:val="24"/>
                <w:szCs w:val="24"/>
                <w:lang w:val="en-US" w:eastAsia="zh-CN" w:bidi="ar"/>
              </w:rPr>
              <w:t>》中卫市沙坡头区统计数据可知，剔除沙尘天气后2022年项目所在区域PM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年均浓度、CO24小时平均第95百分位数浓度、O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日最大8小时滑动平均值的第90百分位数浓度均满足《环境空气质量标准》（GB3095-2012及修改单）表1中二级标准限值，属于达标区。</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本项目位于</w:t>
            </w:r>
            <w:r>
              <w:rPr>
                <w:rFonts w:hint="default" w:ascii="Times New Roman" w:hAnsi="Times New Roman" w:eastAsia="宋体" w:cs="Times New Roman"/>
                <w:b/>
                <w:bCs/>
                <w:color w:val="auto"/>
                <w:kern w:val="0"/>
                <w:sz w:val="24"/>
                <w:szCs w:val="24"/>
                <w:lang w:val="en-US" w:eastAsia="zh-CN" w:bidi="ar"/>
              </w:rPr>
              <w:t>大气环境一般管控区，</w:t>
            </w:r>
            <w:r>
              <w:rPr>
                <w:rFonts w:hint="default" w:ascii="Times New Roman" w:hAnsi="Times New Roman" w:eastAsia="宋体" w:cs="Times New Roman"/>
                <w:b w:val="0"/>
                <w:bCs w:val="0"/>
                <w:color w:val="auto"/>
                <w:kern w:val="0"/>
                <w:sz w:val="24"/>
                <w:szCs w:val="24"/>
                <w:lang w:val="en-US" w:eastAsia="zh-CN" w:bidi="ar"/>
              </w:rPr>
              <w:t>该区域管控要求如下：为</w:t>
            </w:r>
            <w:r>
              <w:rPr>
                <w:rFonts w:hint="default" w:ascii="Times New Roman" w:hAnsi="Times New Roman" w:eastAsia="宋体" w:cs="Times New Roman"/>
                <w:color w:val="auto"/>
                <w:kern w:val="0"/>
                <w:sz w:val="24"/>
                <w:szCs w:val="24"/>
                <w:lang w:val="en-US" w:eastAsia="zh-CN" w:bidi="ar"/>
              </w:rPr>
              <w:t>落实《中华人民共和国大气污染防治法》等相关法律法规的一般要求，在满足区域基本的污染物排放标准和污染防治要求基础上，进一步采用更清洁的生产方式和更有效的污染治理措施，推动区域环境空气质量持续改善。毗邻大气环境优先保护区的新建项目，还应特别注意污染物排放对优先保护区的影响，应优化选址方案或采取有效的污染防治措施，避免对一类区空气质量造成不利影响。</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本项目废气污染因子主要为颗粒物，通过设置配料机防静电挡尘帘及搅拌机配套的布袋除尘机、</w:t>
            </w:r>
            <w:r>
              <w:rPr>
                <w:rFonts w:hint="default" w:ascii="Times New Roman" w:hAnsi="Times New Roman" w:eastAsia="宋体" w:cs="Times New Roman"/>
                <w:b w:val="0"/>
                <w:bCs w:val="0"/>
                <w:color w:val="auto"/>
                <w:kern w:val="2"/>
                <w:sz w:val="24"/>
                <w:szCs w:val="24"/>
                <w:lang w:val="en-US" w:eastAsia="zh-CN" w:bidi="ar-SA"/>
              </w:rPr>
              <w:t>水泥、粉煤灰筒仓顶部配套</w:t>
            </w:r>
            <w:r>
              <w:rPr>
                <w:rFonts w:hint="eastAsia" w:cs="Times New Roman"/>
                <w:b w:val="0"/>
                <w:bCs w:val="0"/>
                <w:color w:val="auto"/>
                <w:kern w:val="2"/>
                <w:sz w:val="24"/>
                <w:szCs w:val="24"/>
                <w:lang w:val="en-US" w:eastAsia="zh-CN" w:bidi="ar-SA"/>
              </w:rPr>
              <w:t>脉冲袋式除尘机</w:t>
            </w:r>
            <w:r>
              <w:rPr>
                <w:rFonts w:hint="default" w:ascii="Times New Roman" w:hAnsi="Times New Roman" w:eastAsia="宋体" w:cs="Times New Roman"/>
                <w:b w:val="0"/>
                <w:bCs w:val="0"/>
                <w:color w:val="auto"/>
                <w:kern w:val="2"/>
                <w:sz w:val="24"/>
                <w:szCs w:val="24"/>
                <w:lang w:val="en-US" w:eastAsia="zh-CN" w:bidi="ar-SA"/>
              </w:rPr>
              <w:t>收集处理后排放。同时，针对</w:t>
            </w:r>
            <w:r>
              <w:rPr>
                <w:rFonts w:hint="eastAsia" w:cs="Times New Roman"/>
                <w:b w:val="0"/>
                <w:bCs w:val="0"/>
                <w:color w:val="auto"/>
                <w:kern w:val="2"/>
                <w:sz w:val="24"/>
                <w:szCs w:val="24"/>
                <w:lang w:val="en-US" w:eastAsia="zh-CN" w:bidi="ar-SA"/>
              </w:rPr>
              <w:t>原料仓</w:t>
            </w:r>
            <w:r>
              <w:rPr>
                <w:rFonts w:hint="default" w:ascii="Times New Roman" w:hAnsi="Times New Roman" w:eastAsia="宋体" w:cs="Times New Roman"/>
                <w:b w:val="0"/>
                <w:bCs w:val="0"/>
                <w:color w:val="auto"/>
                <w:kern w:val="2"/>
                <w:sz w:val="24"/>
                <w:szCs w:val="24"/>
                <w:lang w:val="en-US" w:eastAsia="zh-CN" w:bidi="ar-SA"/>
              </w:rPr>
              <w:t>粉尘和汽车运输扬尘，采取防尘网全覆盖、道路洒水和进出厂车辆冲洗等措施。采取通过上述环保措施，</w:t>
            </w:r>
            <w:r>
              <w:rPr>
                <w:rFonts w:hint="default" w:ascii="Times New Roman" w:hAnsi="Times New Roman" w:eastAsia="宋体" w:cs="Times New Roman"/>
                <w:color w:val="auto"/>
                <w:kern w:val="0"/>
                <w:sz w:val="24"/>
                <w:szCs w:val="24"/>
                <w:lang w:val="en-US" w:eastAsia="zh-CN" w:bidi="ar"/>
              </w:rPr>
              <w:t>可减轻本项目无组织排放颗粒物对大气环境的影响。本项目与中卫市大气环境分区管控位置见附图4。</w:t>
            </w:r>
          </w:p>
          <w:p>
            <w:pPr>
              <w:pStyle w:val="16"/>
              <w:keepNext w:val="0"/>
              <w:keepLines w:val="0"/>
              <w:pageBreakBefore w:val="0"/>
              <w:numPr>
                <w:ilvl w:val="0"/>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②水环境质量底线及分区管控</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w:t>
            </w:r>
            <w:r>
              <w:rPr>
                <w:rFonts w:hint="eastAsia" w:cs="Times New Roman"/>
                <w:color w:val="auto"/>
                <w:kern w:val="0"/>
                <w:sz w:val="24"/>
                <w:szCs w:val="24"/>
                <w:highlight w:val="none"/>
                <w:lang w:val="en-US" w:eastAsia="zh-CN" w:bidi="ar"/>
              </w:rPr>
              <w:t>1.02</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羚羊寿渠</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S</w:t>
            </w:r>
            <w:r>
              <w:rPr>
                <w:rFonts w:hint="default" w:ascii="Times New Roman" w:hAnsi="Times New Roman" w:eastAsia="宋体" w:cs="Times New Roman"/>
                <w:color w:val="auto"/>
                <w:kern w:val="0"/>
                <w:sz w:val="24"/>
                <w:szCs w:val="24"/>
                <w:highlight w:val="none"/>
                <w:lang w:val="en-US" w:eastAsia="zh-CN" w:bidi="ar"/>
              </w:rPr>
              <w:t>，0.</w:t>
            </w:r>
            <w:r>
              <w:rPr>
                <w:rFonts w:hint="eastAsia" w:cs="Times New Roman"/>
                <w:color w:val="auto"/>
                <w:kern w:val="0"/>
                <w:sz w:val="24"/>
                <w:szCs w:val="24"/>
                <w:highlight w:val="none"/>
                <w:lang w:val="en-US" w:eastAsia="zh-CN" w:bidi="ar"/>
              </w:rPr>
              <w:t>56</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以及永丰渠（N，0.26）</w:t>
            </w:r>
            <w:r>
              <w:rPr>
                <w:rFonts w:hint="default" w:ascii="Times New Roman" w:hAnsi="Times New Roman" w:eastAsia="宋体" w:cs="Times New Roman"/>
                <w:color w:val="auto"/>
                <w:kern w:val="0"/>
                <w:sz w:val="24"/>
                <w:szCs w:val="24"/>
                <w:highlight w:val="none"/>
                <w:lang w:val="en-US" w:eastAsia="zh-CN" w:bidi="ar"/>
              </w:rPr>
              <w:t>，其中黄河中卫段水质执行《地表水环境质量标准》（GB3838-2002）中Ⅱ类标准。</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aps w:val="0"/>
                <w:smallCaps w:val="0"/>
                <w:color w:val="auto"/>
                <w:kern w:val="0"/>
                <w:position w:val="0"/>
                <w:sz w:val="24"/>
                <w:szCs w:val="24"/>
                <w:highlight w:val="none"/>
                <w:lang w:val="en-US" w:eastAsia="zh-CN"/>
              </w:rPr>
              <w:t>本项目位于</w:t>
            </w:r>
            <w:r>
              <w:rPr>
                <w:rFonts w:hint="default" w:ascii="Times New Roman" w:hAnsi="Times New Roman" w:eastAsia="宋体" w:cs="Times New Roman"/>
                <w:b/>
                <w:bCs/>
                <w:caps w:val="0"/>
                <w:smallCaps w:val="0"/>
                <w:color w:val="auto"/>
                <w:kern w:val="0"/>
                <w:position w:val="0"/>
                <w:sz w:val="24"/>
                <w:szCs w:val="24"/>
                <w:highlight w:val="none"/>
                <w:lang w:val="en-US" w:eastAsia="zh-CN"/>
              </w:rPr>
              <w:t>水环境一般管控区</w:t>
            </w:r>
            <w:r>
              <w:rPr>
                <w:rFonts w:hint="default" w:ascii="Times New Roman" w:hAnsi="Times New Roman" w:eastAsia="宋体" w:cs="Times New Roman"/>
                <w:caps w:val="0"/>
                <w:smallCaps w:val="0"/>
                <w:color w:val="auto"/>
                <w:kern w:val="0"/>
                <w:position w:val="0"/>
                <w:sz w:val="24"/>
                <w:szCs w:val="24"/>
                <w:highlight w:val="none"/>
                <w:lang w:val="en-US" w:eastAsia="zh-CN"/>
              </w:rPr>
              <w:t>，</w:t>
            </w:r>
            <w:r>
              <w:rPr>
                <w:rFonts w:hint="default" w:ascii="Times New Roman" w:hAnsi="Times New Roman" w:eastAsia="宋体" w:cs="Times New Roman"/>
                <w:color w:val="auto"/>
                <w:kern w:val="0"/>
                <w:sz w:val="24"/>
                <w:szCs w:val="24"/>
                <w:lang w:val="en-US" w:eastAsia="zh-CN" w:bidi="ar"/>
              </w:rPr>
              <w:t>应落实《中华人民共和国水污染防治法》等相关法律法规的总体要求，加强水资源节约和保护，积极推动水生态修复治理，持续深入推进水污染防治，改善水环境质量。</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本项目车辆冲洗废水</w:t>
            </w:r>
            <w:r>
              <w:rPr>
                <w:rFonts w:hint="eastAsia" w:cs="Times New Roman"/>
                <w:color w:val="auto"/>
                <w:kern w:val="0"/>
                <w:sz w:val="24"/>
                <w:szCs w:val="24"/>
                <w:lang w:val="en-US" w:eastAsia="zh-CN" w:bidi="ar"/>
              </w:rPr>
              <w:t>及搅拌机清洗废水</w:t>
            </w:r>
            <w:r>
              <w:rPr>
                <w:rFonts w:hint="default" w:ascii="Times New Roman" w:hAnsi="Times New Roman" w:eastAsia="宋体" w:cs="Times New Roman"/>
                <w:color w:val="auto"/>
                <w:kern w:val="0"/>
                <w:sz w:val="24"/>
                <w:szCs w:val="24"/>
                <w:lang w:val="en-US" w:eastAsia="zh-CN" w:bidi="ar"/>
              </w:rPr>
              <w:t>回用于厂区道路洒水抑尘，不外排；</w:t>
            </w:r>
            <w:r>
              <w:rPr>
                <w:rFonts w:hint="eastAsia" w:cs="Times New Roman"/>
                <w:color w:val="auto"/>
                <w:sz w:val="24"/>
                <w:szCs w:val="24"/>
                <w:highlight w:val="none"/>
                <w:lang w:eastAsia="zh-CN"/>
              </w:rPr>
              <w:t>生活污水经旱厕堆肥后还田</w:t>
            </w:r>
            <w:r>
              <w:rPr>
                <w:rFonts w:hint="default" w:ascii="Times New Roman" w:hAnsi="Times New Roman" w:eastAsia="宋体" w:cs="Times New Roman"/>
                <w:color w:val="auto"/>
                <w:sz w:val="24"/>
                <w:szCs w:val="24"/>
                <w:highlight w:val="none"/>
                <w:lang w:val="en-US" w:eastAsia="zh-CN"/>
              </w:rPr>
              <w:t>；厂区道路洒水自然蒸发。因此，项目无废水直接外排，对区域水环境影响很小，符合</w:t>
            </w:r>
            <w:r>
              <w:rPr>
                <w:rFonts w:hint="default" w:ascii="Times New Roman" w:hAnsi="Times New Roman" w:eastAsia="宋体" w:cs="Times New Roman"/>
                <w:b w:val="0"/>
                <w:bCs w:val="0"/>
                <w:color w:val="auto"/>
                <w:kern w:val="0"/>
                <w:sz w:val="24"/>
                <w:szCs w:val="24"/>
                <w:lang w:val="en-US" w:eastAsia="zh-CN" w:bidi="ar"/>
              </w:rPr>
              <w:t>水环境一般管控区要求。</w:t>
            </w:r>
            <w:r>
              <w:rPr>
                <w:rFonts w:hint="default" w:ascii="Times New Roman" w:hAnsi="Times New Roman" w:eastAsia="宋体" w:cs="Times New Roman"/>
                <w:color w:val="auto"/>
                <w:kern w:val="0"/>
                <w:sz w:val="24"/>
                <w:szCs w:val="24"/>
                <w:lang w:val="en-US" w:eastAsia="zh-CN" w:bidi="ar"/>
              </w:rPr>
              <w:t>本项目与中卫市水环境分区管控位置见附图5。</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③土壤环境风险管控底线及分区管控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本项目位于</w:t>
            </w:r>
            <w:r>
              <w:rPr>
                <w:rFonts w:hint="default" w:ascii="Times New Roman" w:hAnsi="Times New Roman" w:eastAsia="宋体" w:cs="Times New Roman"/>
                <w:b/>
                <w:bCs/>
                <w:color w:val="auto"/>
                <w:kern w:val="0"/>
                <w:sz w:val="24"/>
                <w:szCs w:val="24"/>
                <w:lang w:val="en-US" w:eastAsia="zh-CN" w:bidi="ar"/>
              </w:rPr>
              <w:t>土壤环境一般管控区，</w:t>
            </w:r>
            <w:r>
              <w:rPr>
                <w:rFonts w:hint="default" w:ascii="Times New Roman" w:hAnsi="Times New Roman" w:eastAsia="宋体" w:cs="Times New Roman"/>
                <w:color w:val="auto"/>
                <w:kern w:val="0"/>
                <w:sz w:val="24"/>
                <w:szCs w:val="24"/>
                <w:lang w:val="en-US" w:eastAsia="zh-CN" w:bidi="ar"/>
              </w:rPr>
              <w:t>在编制国土空间规划等相关规划时，应充分考虑污染地块的环境风险，合理确定土地用途。禁止在居民区、学校、医疗和养老机构等周边新建有色金属冶炼、焦化等行业企业。排放重点污染物的建设项目，在开展环境影响评价时，要增加对土壤环境影响的评价内容，并提出防范土壤污染的具体措施；需要建设的土壤污染防治设施，要与主体工程同时设计、同时施工、同时投产使用。</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kern w:val="2"/>
                <w:sz w:val="24"/>
                <w:szCs w:val="24"/>
                <w:vertAlign w:val="baseline"/>
                <w:lang w:val="en-US" w:eastAsia="zh-CN" w:bidi="ar-SA"/>
              </w:rPr>
              <w:t>本项目厂区地面采用碎石铺设，旱厕及沉淀池防渗处理；厂区周边种植具有较强吸附能力的植物；定期清扫道路，做好设备维护工作。</w:t>
            </w:r>
            <w:r>
              <w:rPr>
                <w:rFonts w:hint="default" w:ascii="Times New Roman" w:hAnsi="Times New Roman" w:eastAsia="宋体" w:cs="Times New Roman"/>
                <w:color w:val="auto"/>
                <w:kern w:val="0"/>
                <w:sz w:val="24"/>
                <w:szCs w:val="24"/>
                <w:lang w:val="en-US" w:eastAsia="zh-CN" w:bidi="ar"/>
              </w:rPr>
              <w:t>项目设置完备的土壤污染风险设施后，在正常运行过程中不会对土壤环境造成污染，</w:t>
            </w:r>
            <w:r>
              <w:rPr>
                <w:rFonts w:hint="default" w:ascii="Times New Roman" w:hAnsi="Times New Roman" w:eastAsia="宋体" w:cs="Times New Roman"/>
                <w:b w:val="0"/>
                <w:bCs w:val="0"/>
                <w:color w:val="auto"/>
                <w:kern w:val="0"/>
                <w:sz w:val="24"/>
                <w:szCs w:val="24"/>
                <w:lang w:val="en-US" w:eastAsia="zh-CN" w:bidi="ar"/>
              </w:rPr>
              <w:t>符合建设用地污染风险重点管控区要求。</w:t>
            </w:r>
            <w:r>
              <w:rPr>
                <w:rFonts w:hint="default" w:ascii="Times New Roman" w:hAnsi="Times New Roman" w:eastAsia="宋体" w:cs="Times New Roman"/>
                <w:color w:val="auto"/>
                <w:kern w:val="0"/>
                <w:sz w:val="24"/>
                <w:szCs w:val="24"/>
                <w:lang w:val="en-US" w:eastAsia="zh-CN" w:bidi="ar"/>
              </w:rPr>
              <w:t>本项目与中卫市土壤污染风险分区管控位置见附图6。</w:t>
            </w:r>
          </w:p>
          <w:p>
            <w:pPr>
              <w:pStyle w:val="16"/>
              <w:keepNext w:val="0"/>
              <w:keepLines w:val="0"/>
              <w:pageBreakBefore w:val="0"/>
              <w:numPr>
                <w:ilvl w:val="0"/>
                <w:numId w:val="1"/>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资源利用上线及分区管控</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本项目与中卫市资源利用上线及分区管控要求见表1-2。</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numPr>
                <w:ilvl w:val="0"/>
                <w:numId w:val="0"/>
              </w:numPr>
              <w:kinsoku/>
              <w:wordWrap/>
              <w:overflowPunct/>
              <w:topLinePunct w:val="0"/>
              <w:bidi w:val="0"/>
              <w:adjustRightInd w:val="0"/>
              <w:snapToGrid w:val="0"/>
              <w:spacing w:line="360" w:lineRule="auto"/>
              <w:ind w:leftChars="200"/>
              <w:textAlignment w:val="auto"/>
              <w:rPr>
                <w:rFonts w:hint="default" w:ascii="Times New Roman" w:hAnsi="Times New Roman" w:eastAsia="宋体" w:cs="Times New Roman"/>
                <w:color w:val="auto"/>
                <w:kern w:val="0"/>
                <w:sz w:val="24"/>
                <w:szCs w:val="24"/>
                <w:lang w:val="en-US" w:eastAsia="zh-CN" w:bidi="ar"/>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kern w:val="0"/>
                <w:sz w:val="21"/>
                <w:szCs w:val="21"/>
                <w:lang w:val="en-US" w:eastAsia="zh-CN" w:bidi="ar"/>
              </w:rPr>
              <w:t>表1-2  本项目与资源利用上线及分区管控符合性分析一览表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7"/>
              <w:gridCol w:w="4751"/>
              <w:gridCol w:w="2018"/>
              <w:gridCol w:w="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内容</w:t>
                  </w:r>
                </w:p>
              </w:tc>
              <w:tc>
                <w:tcPr>
                  <w:tcW w:w="4294"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相关要求</w:t>
                  </w:r>
                </w:p>
              </w:tc>
              <w:tc>
                <w:tcPr>
                  <w:tcW w:w="1824"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本项目建设情况</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eastAsia" w:cs="Times New Roman"/>
                      <w:b/>
                      <w:bCs/>
                      <w:color w:val="auto"/>
                      <w:kern w:val="0"/>
                      <w:sz w:val="21"/>
                      <w:szCs w:val="21"/>
                      <w:vertAlign w:val="baseline"/>
                      <w:lang w:val="en-US" w:eastAsia="zh-CN" w:bidi="ar"/>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水资源利用上线</w:t>
                  </w:r>
                </w:p>
              </w:tc>
              <w:tc>
                <w:tcPr>
                  <w:tcW w:w="4294"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深挖工业节水潜力。以中卫工业园区为重点，大力实施节水改造，推进统一供水、分质供水、废水集中处理回用。推进化工、冶金、建材等产业节水增效，大力推广高效冷却、洗涤、循环用水、废污水再生利用、高耗水生产工艺替代等节水工艺和技术。发挥水资源税税收杠杆调节作用，促进高耗水企业加强废水深度处理和达标再利用。严格管控高耗水产业发展，倒逼高耗水项目和产业有序退出。</w:t>
                  </w:r>
                </w:p>
              </w:tc>
              <w:tc>
                <w:tcPr>
                  <w:tcW w:w="18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本项目</w:t>
                  </w:r>
                  <w:r>
                    <w:rPr>
                      <w:rFonts w:hint="default" w:ascii="Times New Roman" w:hAnsi="Times New Roman" w:eastAsia="宋体" w:cs="Times New Roman"/>
                      <w:color w:val="auto"/>
                      <w:sz w:val="21"/>
                      <w:szCs w:val="21"/>
                      <w:lang w:val="en-US" w:eastAsia="zh-CN"/>
                    </w:rPr>
                    <w:t>运营期间内新鲜水总用水量为</w:t>
                  </w:r>
                  <w:r>
                    <w:rPr>
                      <w:rFonts w:hint="eastAsia" w:cs="Times New Roman"/>
                      <w:color w:val="auto"/>
                      <w:sz w:val="21"/>
                      <w:szCs w:val="21"/>
                      <w:lang w:val="en-US" w:eastAsia="zh-CN"/>
                    </w:rPr>
                    <w:t>20394</w:t>
                  </w:r>
                  <w:r>
                    <w:rPr>
                      <w:rFonts w:hint="default" w:ascii="Times New Roman" w:hAnsi="Times New Roman" w:eastAsia="宋体" w:cs="Times New Roman"/>
                      <w:color w:val="auto"/>
                      <w:kern w:val="0"/>
                      <w:sz w:val="21"/>
                      <w:szCs w:val="21"/>
                      <w:lang w:val="en-US" w:eastAsia="zh-CN" w:bidi="ar"/>
                    </w:rPr>
                    <w:t>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vertAlign w:val="baseline"/>
                      <w:lang w:val="en-US" w:eastAsia="zh-CN" w:bidi="ar"/>
                    </w:rPr>
                    <w:t>，不属于高耗水项目。厂区道路洒扫用水采用车辆清洗废水沉淀后回用的水，实现了水资源重复利用，</w:t>
                  </w:r>
                  <w:r>
                    <w:rPr>
                      <w:rFonts w:hint="default" w:ascii="Times New Roman" w:hAnsi="Times New Roman" w:eastAsia="宋体" w:cs="Times New Roman"/>
                      <w:color w:val="auto"/>
                      <w:kern w:val="0"/>
                      <w:sz w:val="21"/>
                      <w:szCs w:val="21"/>
                      <w:lang w:val="en-US" w:eastAsia="zh-CN" w:bidi="ar"/>
                    </w:rPr>
                    <w:t>提高再生水利用率。</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66"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
                    </w:rPr>
                  </w:pPr>
                  <w:r>
                    <w:rPr>
                      <w:rFonts w:hint="default" w:ascii="Times New Roman" w:hAnsi="Times New Roman" w:eastAsia="宋体" w:cs="Times New Roman"/>
                      <w:b/>
                      <w:bCs/>
                      <w:color w:val="auto"/>
                      <w:kern w:val="0"/>
                      <w:sz w:val="21"/>
                      <w:szCs w:val="21"/>
                      <w:vertAlign w:val="baseline"/>
                      <w:lang w:val="en-US" w:eastAsia="zh-CN" w:bidi="ar"/>
                    </w:rPr>
                    <w:t>土地资源利用上线</w:t>
                  </w:r>
                </w:p>
              </w:tc>
              <w:tc>
                <w:tcPr>
                  <w:tcW w:w="4294"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从生态环境保护的角度出发，综合考虑生态保护红线、永久基本农田等保护区域的面积，可开发利用土地资源的存量，以及土地资源的集约利用水平等因素，评价各区县在土地资源开发利用与生态环境保护方面的潜在矛盾程度。中卫市无土地资源重点管控区。按照“以水定城、以水定地”的原则，优化城乡土地供给，严格落实耕地占补平衡，严控新增建设用地规模，严格按照投资强度核定用地面积，盘活利用闲置土地，合理控制土地开发强度，优化土地利用结构和布局，清理低效用地，集约化、规模化开发土地资源，提高土地集约化利用程度和开发利用效益。</w:t>
                  </w:r>
                </w:p>
              </w:tc>
              <w:tc>
                <w:tcPr>
                  <w:tcW w:w="1824"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本项目不涉及</w:t>
                  </w:r>
                  <w:r>
                    <w:rPr>
                      <w:rFonts w:hint="default" w:ascii="Times New Roman" w:hAnsi="Times New Roman" w:eastAsia="宋体" w:cs="Times New Roman"/>
                      <w:color w:val="auto"/>
                      <w:kern w:val="0"/>
                      <w:sz w:val="21"/>
                      <w:szCs w:val="21"/>
                      <w:lang w:val="en-US" w:eastAsia="zh-CN" w:bidi="ar"/>
                    </w:rPr>
                    <w:t>生态保护红线、永久基本农田等保护区域的面积。租用</w:t>
                  </w:r>
                  <w:r>
                    <w:rPr>
                      <w:rFonts w:hint="eastAsia" w:cs="Times New Roman"/>
                      <w:bCs/>
                      <w:snapToGrid w:val="0"/>
                      <w:color w:val="auto"/>
                      <w:kern w:val="0"/>
                      <w:sz w:val="21"/>
                      <w:szCs w:val="21"/>
                      <w:lang w:val="en-US" w:eastAsia="zh-CN"/>
                    </w:rPr>
                    <w:t>宁夏中卫富贵养牛厂</w:t>
                  </w:r>
                  <w:r>
                    <w:rPr>
                      <w:rFonts w:hint="default" w:ascii="Times New Roman" w:hAnsi="Times New Roman" w:eastAsia="宋体" w:cs="Times New Roman"/>
                      <w:bCs/>
                      <w:snapToGrid w:val="0"/>
                      <w:color w:val="auto"/>
                      <w:kern w:val="0"/>
                      <w:sz w:val="21"/>
                      <w:szCs w:val="21"/>
                      <w:lang w:val="en-US" w:eastAsia="zh-CN"/>
                    </w:rPr>
                    <w:t>的闲置空地，实现</w:t>
                  </w:r>
                  <w:r>
                    <w:rPr>
                      <w:rFonts w:hint="default" w:ascii="Times New Roman" w:hAnsi="Times New Roman" w:eastAsia="宋体" w:cs="Times New Roman"/>
                      <w:color w:val="auto"/>
                      <w:kern w:val="0"/>
                      <w:sz w:val="21"/>
                      <w:szCs w:val="21"/>
                      <w:lang w:val="en-US" w:eastAsia="zh-CN" w:bidi="ar"/>
                    </w:rPr>
                    <w:t>土地集约化利用。</w:t>
                  </w:r>
                </w:p>
              </w:tc>
              <w:tc>
                <w:tcPr>
                  <w:tcW w:w="687" w:type="dxa"/>
                  <w:vAlign w:val="center"/>
                </w:tcPr>
                <w:p>
                  <w:pPr>
                    <w:pStyle w:val="16"/>
                    <w:keepNext w:val="0"/>
                    <w:keepLines w:val="0"/>
                    <w:pageBreakBefore w:val="0"/>
                    <w:numPr>
                      <w:ilvl w:val="0"/>
                      <w:numId w:val="0"/>
                    </w:numPr>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vertAlign w:val="baseline"/>
                      <w:lang w:val="en-US" w:eastAsia="zh-CN" w:bidi="ar"/>
                    </w:rPr>
                    <w:t>符合</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lang w:val="en-US" w:eastAsia="zh-CN"/>
              </w:rPr>
              <w:t>根据上表分析，本项目符合</w:t>
            </w:r>
            <w:r>
              <w:rPr>
                <w:rFonts w:hint="default" w:ascii="Times New Roman" w:hAnsi="Times New Roman" w:eastAsia="宋体" w:cs="Times New Roman"/>
                <w:b w:val="0"/>
                <w:bCs w:val="0"/>
                <w:color w:val="auto"/>
                <w:sz w:val="24"/>
                <w:szCs w:val="24"/>
                <w:highlight w:val="none"/>
                <w:lang w:val="en-US" w:eastAsia="zh-CN"/>
              </w:rPr>
              <w:t>中卫市资源利用上线及分区管控要求。</w:t>
            </w:r>
          </w:p>
          <w:p>
            <w:pPr>
              <w:keepNext w:val="0"/>
              <w:keepLines w:val="0"/>
              <w:pageBreakBefore w:val="0"/>
              <w:widowControl/>
              <w:numPr>
                <w:ilvl w:val="0"/>
                <w:numId w:val="1"/>
              </w:numPr>
              <w:suppressLineNumbers w:val="0"/>
              <w:kinsoku/>
              <w:wordWrap/>
              <w:overflowPunct/>
              <w:topLinePunct w:val="0"/>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生态环境准入清单</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本项目与中卫市生态环境</w:t>
            </w:r>
            <w:r>
              <w:rPr>
                <w:rFonts w:hint="eastAsia" w:cs="Times New Roman"/>
                <w:color w:val="auto"/>
                <w:sz w:val="24"/>
                <w:szCs w:val="24"/>
                <w:highlight w:val="none"/>
                <w:lang w:val="en-US" w:eastAsia="zh-CN"/>
              </w:rPr>
              <w:t>总体准入要求</w:t>
            </w:r>
            <w:r>
              <w:rPr>
                <w:rFonts w:hint="default" w:ascii="Times New Roman" w:hAnsi="Times New Roman" w:eastAsia="宋体" w:cs="Times New Roman"/>
                <w:color w:val="auto"/>
                <w:sz w:val="24"/>
                <w:szCs w:val="24"/>
                <w:highlight w:val="none"/>
                <w:lang w:val="en-US" w:eastAsia="zh-CN"/>
              </w:rPr>
              <w:t>符合性分析见表1-3。</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default" w:cs="Times New Roman"/>
                <w:color w:val="auto"/>
                <w:sz w:val="24"/>
                <w:szCs w:val="24"/>
                <w:highlight w:val="none"/>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ind w:firstLine="0" w:firstLineChars="0"/>
              <w:jc w:val="center"/>
              <w:textAlignment w:val="auto"/>
              <w:rPr>
                <w:rFonts w:hint="default" w:ascii="Times New Roman" w:hAnsi="Times New Roman" w:eastAsia="宋体" w:cs="Times New Roman"/>
                <w:b/>
                <w:bCs/>
                <w:color w:val="auto"/>
                <w:kern w:val="0"/>
                <w:sz w:val="24"/>
                <w:szCs w:val="24"/>
                <w:lang w:val="en-US" w:eastAsia="zh-CN" w:bidi="ar"/>
              </w:rPr>
            </w:pPr>
          </w:p>
        </w:tc>
      </w:tr>
    </w:tbl>
    <w:p>
      <w:pPr>
        <w:adjustRightInd w:val="0"/>
        <w:snapToGrid w:val="0"/>
        <w:jc w:val="center"/>
        <w:outlineLvl w:val="9"/>
        <w:rPr>
          <w:rFonts w:hint="default" w:ascii="Times New Roman" w:hAnsi="Times New Roman" w:eastAsia="宋体" w:cs="Times New Roman"/>
          <w:color w:val="auto"/>
          <w:sz w:val="21"/>
          <w:szCs w:val="21"/>
          <w:lang w:val="en-US" w:eastAsia="zh-CN"/>
        </w:rPr>
        <w:sectPr>
          <w:pgSz w:w="11906" w:h="16838"/>
          <w:pgMar w:top="1587" w:right="1587" w:bottom="1587" w:left="1587" w:header="1304" w:footer="1020" w:gutter="0"/>
          <w:pgNumType w:fmt="decimal"/>
          <w:cols w:space="720" w:num="1"/>
          <w:docGrid w:type="lines" w:linePitch="312" w:charSpace="0"/>
        </w:sectPr>
      </w:pP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 xml:space="preserve">表1-3  </w:t>
      </w:r>
      <w:r>
        <w:rPr>
          <w:rFonts w:hint="default" w:ascii="Times New Roman" w:hAnsi="Times New Roman" w:eastAsia="宋体" w:cs="Times New Roman"/>
          <w:b/>
          <w:bCs/>
          <w:color w:val="auto"/>
          <w:sz w:val="21"/>
          <w:szCs w:val="21"/>
          <w:highlight w:val="none"/>
          <w:lang w:val="en-US" w:eastAsia="zh-CN"/>
        </w:rPr>
        <w:t>本项目与中卫市生态环境总体准入要求符合性分析</w:t>
      </w:r>
      <w:r>
        <w:rPr>
          <w:rFonts w:hint="default" w:ascii="Times New Roman" w:hAnsi="Times New Roman" w:eastAsia="宋体" w:cs="Times New Roman"/>
          <w:b/>
          <w:bCs/>
          <w:color w:val="auto"/>
          <w:kern w:val="0"/>
          <w:sz w:val="21"/>
          <w:szCs w:val="21"/>
          <w:highlight w:val="none"/>
          <w:lang w:val="en-US" w:eastAsia="zh-CN" w:bidi="ar"/>
        </w:rPr>
        <w:t>一览表</w:t>
      </w:r>
    </w:p>
    <w:tbl>
      <w:tblPr>
        <w:tblStyle w:val="23"/>
        <w:tblW w:w="5000" w:type="pct"/>
        <w:tblInd w:w="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52"/>
        <w:gridCol w:w="9081"/>
        <w:gridCol w:w="1796"/>
        <w:gridCol w:w="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87" w:type="dxa"/>
            <w:gridSpan w:val="2"/>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管控维度</w:t>
            </w:r>
          </w:p>
        </w:tc>
        <w:tc>
          <w:tcPr>
            <w:tcW w:w="9081"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准入要求</w:t>
            </w:r>
          </w:p>
        </w:tc>
        <w:tc>
          <w:tcPr>
            <w:tcW w:w="179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本项目建设情况</w:t>
            </w:r>
          </w:p>
        </w:tc>
        <w:tc>
          <w:tcPr>
            <w:tcW w:w="91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A1空间布局约束</w:t>
            </w:r>
          </w:p>
        </w:tc>
        <w:tc>
          <w:tcPr>
            <w:tcW w:w="1352" w:type="dxa"/>
            <w:vMerge w:val="restart"/>
            <w:vAlign w:val="center"/>
          </w:tcPr>
          <w:p>
            <w:pPr>
              <w:keepNext w:val="0"/>
              <w:keepLines w:val="0"/>
              <w:widowControl/>
              <w:suppressLineNumbers w:val="0"/>
              <w:jc w:val="center"/>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lang w:val="en-US" w:eastAsia="zh-CN" w:bidi="ar"/>
              </w:rPr>
              <w:t>A1.1禁止开发建设活动的要求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严禁在黄河干流及主要支流临岸1公里范围内新建“两高一资”项目及相关产业园区。</w:t>
            </w:r>
          </w:p>
        </w:tc>
        <w:tc>
          <w:tcPr>
            <w:tcW w:w="1796"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highlight w:val="none"/>
                <w:vertAlign w:val="baseline"/>
                <w:lang w:val="en-US" w:eastAsia="zh-CN" w:bidi="ar"/>
              </w:rPr>
              <w:t>本项目不涉及左列情况</w:t>
            </w:r>
          </w:p>
        </w:tc>
        <w:tc>
          <w:tcPr>
            <w:tcW w:w="916"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黄河沿线两岸3公里范围内不再新建养殖场。</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所有工业企业原则上一律入园，工业园区及产业集聚区外不再建设工业项目。</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kern w:val="0"/>
                <w:sz w:val="21"/>
                <w:szCs w:val="21"/>
                <w:lang w:val="en-US" w:eastAsia="zh-CN" w:bidi="ar"/>
              </w:rPr>
              <w:t>城市建成区内，禁止新建、扩建产生异味的生物发酵项目。</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“十四五”期间不再新增燃煤自备电厂。</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禁止在优先保护类耕地集中区域新建有色金属冶炼、石油加工、化工、焦化、电镀、制革等行业企业。</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A1.2限制开发建设活动的要求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控“两高”行业和产能过剩行业用地、用电等，坚决杜绝“两高”行业低水平重复建设，对不符合国家产业规划、产业政策、“三线一单”、规划环评、产能置换、煤炭消费减量替代、污染物排放区域削减等要求及未落实能耗指标的“两高”项目坚决停批。</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A1.3不符合空间布局要求活动的退出要求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对严重影响优先区域土壤环境质量的工矿企业，要予以限期治理，未达到治理要求的，由县级以上人民政府依法责令停业或关闭，监督企业对其造成的土壤污染进行修复治理。</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严格管控自然保护地范围内非生态活动，稳妥推进核心区内居民、耕地、矿权有序退出。</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畜禽养殖禁养区内规模养殖场（小区）在合理补偿的基础上，依法依规进行关闭或搬迁。</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产业集聚区内全面淘汰20蒸吨/小时以下燃煤锅炉，集中供热中心15公里范围内35蒸吨/小时及以下分散燃煤锅炉逐步淘汰。</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A2污染物排放管控</w:t>
            </w: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A2.1允许排放量要求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化学需氧量、氨氮、氮氧化物和挥发性有机物排放总量完成自治区下达任务。</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严格涉VOC</w:t>
            </w:r>
            <w:r>
              <w:rPr>
                <w:rFonts w:hint="default" w:ascii="Times New Roman" w:hAnsi="Times New Roman" w:eastAsia="宋体" w:cs="Times New Roman"/>
                <w:b w:val="0"/>
                <w:bCs w:val="0"/>
                <w:color w:val="auto"/>
                <w:kern w:val="0"/>
                <w:sz w:val="21"/>
                <w:szCs w:val="21"/>
                <w:vertAlign w:val="subscript"/>
                <w:lang w:val="en-US" w:eastAsia="zh-CN" w:bidi="ar"/>
              </w:rPr>
              <w:t>s</w:t>
            </w:r>
            <w:r>
              <w:rPr>
                <w:rFonts w:hint="default" w:ascii="Times New Roman" w:hAnsi="Times New Roman" w:eastAsia="宋体" w:cs="Times New Roman"/>
                <w:b w:val="0"/>
                <w:bCs w:val="0"/>
                <w:color w:val="auto"/>
                <w:kern w:val="0"/>
                <w:sz w:val="21"/>
                <w:szCs w:val="21"/>
                <w:lang w:val="en-US" w:eastAsia="zh-CN" w:bidi="ar"/>
              </w:rPr>
              <w:t>排放的工业企业准入，新建项目实行区域内VOC</w:t>
            </w:r>
            <w:r>
              <w:rPr>
                <w:rFonts w:hint="default" w:ascii="Times New Roman" w:hAnsi="Times New Roman" w:eastAsia="宋体" w:cs="Times New Roman"/>
                <w:b w:val="0"/>
                <w:bCs w:val="0"/>
                <w:color w:val="auto"/>
                <w:kern w:val="0"/>
                <w:sz w:val="21"/>
                <w:szCs w:val="21"/>
                <w:vertAlign w:val="subscript"/>
                <w:lang w:val="en-US" w:eastAsia="zh-CN" w:bidi="ar"/>
              </w:rPr>
              <w:t>s</w:t>
            </w:r>
            <w:r>
              <w:rPr>
                <w:rFonts w:hint="default" w:ascii="Times New Roman" w:hAnsi="Times New Roman" w:eastAsia="宋体" w:cs="Times New Roman"/>
                <w:b w:val="0"/>
                <w:bCs w:val="0"/>
                <w:color w:val="auto"/>
                <w:kern w:val="0"/>
                <w:sz w:val="21"/>
                <w:szCs w:val="21"/>
                <w:lang w:val="en-US" w:eastAsia="zh-CN" w:bidi="ar"/>
              </w:rPr>
              <w:t>排放等量或倍量削减替代。</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新、改、扩建涉重金属重点行业建设项目，必须遵循重金属污染物排放“减量置换”或“等量替换”原则。</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到2025年，中卫市畜禽养殖废物综合利用率达到95%，规模养殖场粪污处理设施装备配套率达到100%。</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A2.2现有源提标升级改造</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30万千瓦及以上火电企业全部实现超低排放，其他火电企业（含自备电厂）以及钢铁、水泥、焦化等重点行业全部达到特别排放限值要求。2024年底前，烧结、炼铁、炼钢轧钢、自备电厂等有组织排放污染物实行超低排放限值。</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A3环境风险管控</w:t>
            </w: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A3.1联防联控要求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kern w:val="0"/>
                <w:sz w:val="21"/>
                <w:szCs w:val="21"/>
                <w:lang w:val="en-US" w:eastAsia="zh-CN" w:bidi="ar"/>
              </w:rPr>
              <w:t>健全市生态环境局与公安、交通、应急、气象、水务等部门联动机制，细化落实各相关部门之间联防联控责任与任务分工，联合开展突发环境污染事件处置应急演练，提高联防联控实战能力。</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严格控制沿黄区域、黄河干支流、饮用水源地周边范围内企业环境风险，落实环境风险预警和防范措施。</w:t>
            </w:r>
            <w:r>
              <w:rPr>
                <w:rFonts w:hint="eastAsia" w:ascii="Times New Roman" w:hAnsi="Times New Roman" w:eastAsia="宋体" w:cs="Times New Roman"/>
                <w:b w:val="0"/>
                <w:bCs w:val="0"/>
                <w:color w:val="auto"/>
                <w:kern w:val="0"/>
                <w:sz w:val="21"/>
                <w:szCs w:val="21"/>
                <w:lang w:val="en-US" w:eastAsia="zh-CN" w:bidi="ar"/>
              </w:rPr>
              <w:t>/</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A3.2企业环境风险防控</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完善企业突发环境事件风险评估制度，推进突发环境事件风险分类分级管理，严格重大突发环境事件风险企业监管。</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A4资源利用效率要求</w:t>
            </w:r>
          </w:p>
        </w:tc>
        <w:tc>
          <w:tcPr>
            <w:tcW w:w="1352" w:type="dxa"/>
            <w:vMerge w:val="restart"/>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A4.1能源利用总量及效率要求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全面贯彻落实国家和自治区下达煤炭消费总量目标，严格控制耗煤行业煤炭新增量，新增产能必须符合国内先进能效标准。</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新建、改建、扩建耗煤项目（除煤化工、火电外）一律实施煤炭等量置换，重点控制区及环境质量不达标地区实行减量置换。</w:t>
            </w:r>
          </w:p>
        </w:tc>
        <w:tc>
          <w:tcPr>
            <w:tcW w:w="179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c>
          <w:tcPr>
            <w:tcW w:w="916"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35" w:type="dxa"/>
            <w:vMerge w:val="continue"/>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p>
        </w:tc>
        <w:tc>
          <w:tcPr>
            <w:tcW w:w="1352"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0"/>
                <w:sz w:val="21"/>
                <w:szCs w:val="21"/>
                <w:highlight w:val="none"/>
                <w:vertAlign w:val="baseline"/>
                <w:lang w:val="en-US" w:eastAsia="zh-CN" w:bidi="ar"/>
              </w:rPr>
            </w:pPr>
            <w:r>
              <w:rPr>
                <w:rFonts w:hint="default" w:ascii="Times New Roman" w:hAnsi="Times New Roman" w:eastAsia="宋体" w:cs="Times New Roman"/>
                <w:b/>
                <w:bCs/>
                <w:color w:val="auto"/>
                <w:kern w:val="0"/>
                <w:sz w:val="21"/>
                <w:szCs w:val="21"/>
                <w:highlight w:val="none"/>
                <w:vertAlign w:val="baseline"/>
                <w:lang w:val="en-US" w:eastAsia="zh-CN" w:bidi="ar"/>
              </w:rPr>
              <w:t>A4.2水资源利用总量及效率要求</w:t>
            </w:r>
          </w:p>
        </w:tc>
        <w:tc>
          <w:tcPr>
            <w:tcW w:w="9081" w:type="dxa"/>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 w:val="21"/>
                <w:szCs w:val="21"/>
                <w:lang w:val="en-US" w:eastAsia="zh-CN" w:bidi="ar"/>
              </w:rPr>
              <w:t>建立水资源刚性约束制度，严格准入条件，按照地区取水总量限值审核新、改、扩建项目，取水总量不得超过地区水资源取用上限或承载能力。</w:t>
            </w:r>
          </w:p>
        </w:tc>
        <w:tc>
          <w:tcPr>
            <w:tcW w:w="179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default" w:ascii="Times New Roman" w:hAnsi="Times New Roman" w:eastAsia="宋体" w:cs="Times New Roman"/>
                <w:b w:val="0"/>
                <w:bCs w:val="0"/>
                <w:color w:val="auto"/>
                <w:sz w:val="21"/>
                <w:szCs w:val="21"/>
                <w:lang w:val="en-US" w:eastAsia="zh-CN"/>
              </w:rPr>
              <w:t>本项目运营期间内新鲜水总用水量为</w:t>
            </w:r>
            <w:r>
              <w:rPr>
                <w:rFonts w:hint="eastAsia" w:cs="Times New Roman"/>
                <w:b w:val="0"/>
                <w:bCs w:val="0"/>
                <w:color w:val="auto"/>
                <w:sz w:val="21"/>
                <w:szCs w:val="21"/>
                <w:lang w:val="en-US" w:eastAsia="zh-CN"/>
              </w:rPr>
              <w:t>20394</w:t>
            </w:r>
            <w:r>
              <w:rPr>
                <w:rFonts w:hint="default" w:ascii="Times New Roman" w:hAnsi="Times New Roman" w:eastAsia="宋体" w:cs="Times New Roman"/>
                <w:b w:val="0"/>
                <w:bCs w:val="0"/>
                <w:color w:val="auto"/>
                <w:kern w:val="0"/>
                <w:sz w:val="21"/>
                <w:szCs w:val="21"/>
                <w:lang w:val="en-US" w:eastAsia="zh-CN" w:bidi="ar"/>
              </w:rPr>
              <w:t>m</w:t>
            </w:r>
            <w:r>
              <w:rPr>
                <w:rFonts w:hint="default" w:ascii="Times New Roman" w:hAnsi="Times New Roman" w:eastAsia="宋体" w:cs="Times New Roman"/>
                <w:b w:val="0"/>
                <w:bCs w:val="0"/>
                <w:color w:val="auto"/>
                <w:kern w:val="0"/>
                <w:sz w:val="21"/>
                <w:szCs w:val="21"/>
                <w:vertAlign w:val="superscript"/>
                <w:lang w:val="en-US" w:eastAsia="zh-CN" w:bidi="ar"/>
              </w:rPr>
              <w:t>3</w:t>
            </w:r>
            <w:r>
              <w:rPr>
                <w:rFonts w:hint="default" w:ascii="Times New Roman" w:hAnsi="Times New Roman" w:eastAsia="宋体" w:cs="Times New Roman"/>
                <w:b w:val="0"/>
                <w:bCs w:val="0"/>
                <w:color w:val="auto"/>
                <w:sz w:val="21"/>
                <w:szCs w:val="21"/>
                <w:lang w:val="en-US" w:eastAsia="zh-CN"/>
              </w:rPr>
              <w:t>，水量较小，</w:t>
            </w:r>
            <w:r>
              <w:rPr>
                <w:rFonts w:hint="default" w:ascii="Times New Roman" w:hAnsi="Times New Roman" w:eastAsia="宋体" w:cs="Times New Roman"/>
                <w:b w:val="0"/>
                <w:bCs w:val="0"/>
                <w:color w:val="auto"/>
                <w:kern w:val="0"/>
                <w:sz w:val="21"/>
                <w:szCs w:val="21"/>
                <w:lang w:val="en-US" w:eastAsia="zh-CN" w:bidi="ar"/>
              </w:rPr>
              <w:t>不超过地区水资源取用上限或承载能力。</w:t>
            </w:r>
          </w:p>
        </w:tc>
        <w:tc>
          <w:tcPr>
            <w:tcW w:w="916" w:type="dxa"/>
            <w:vAlign w:val="center"/>
          </w:tcPr>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0"/>
                <w:sz w:val="21"/>
                <w:szCs w:val="21"/>
                <w:highlight w:val="none"/>
                <w:vertAlign w:val="baseline"/>
                <w:lang w:val="en-US" w:eastAsia="zh-CN" w:bidi="ar"/>
              </w:rPr>
            </w:pPr>
            <w:r>
              <w:rPr>
                <w:rFonts w:hint="eastAsia" w:ascii="Times New Roman" w:hAnsi="Times New Roman" w:eastAsia="宋体" w:cs="Times New Roman"/>
                <w:b w:val="0"/>
                <w:bCs w:val="0"/>
                <w:color w:val="auto"/>
                <w:kern w:val="0"/>
                <w:sz w:val="21"/>
                <w:szCs w:val="21"/>
                <w:highlight w:val="none"/>
                <w:vertAlign w:val="baseline"/>
                <w:lang w:val="en-US" w:eastAsia="zh-CN" w:bidi="ar"/>
              </w:rPr>
              <w:t>符合</w:t>
            </w:r>
          </w:p>
        </w:tc>
      </w:tr>
    </w:tbl>
    <w:p>
      <w:pPr>
        <w:pStyle w:val="2"/>
        <w:ind w:left="0" w:leftChars="0" w:firstLine="0" w:firstLineChars="0"/>
        <w:rPr>
          <w:rFonts w:hint="default"/>
          <w:color w:val="auto"/>
          <w:lang w:val="en-US" w:eastAsia="zh-CN"/>
        </w:rPr>
        <w:sectPr>
          <w:pgSz w:w="16838" w:h="11906" w:orient="landscape"/>
          <w:pgMar w:top="1587" w:right="1587" w:bottom="1587" w:left="1587" w:header="1304" w:footer="1020" w:gutter="0"/>
          <w:pgNumType w:fmt="decimal"/>
          <w:cols w:space="720" w:num="1"/>
          <w:docGrid w:type="lines" w:linePitch="312" w:charSpace="0"/>
        </w:sectPr>
      </w:pPr>
    </w:p>
    <w:p>
      <w:pPr>
        <w:adjustRightInd w:val="0"/>
        <w:snapToGrid w:val="0"/>
        <w:jc w:val="center"/>
        <w:outlineLvl w:val="0"/>
        <w:rPr>
          <w:rFonts w:eastAsia="黑体"/>
          <w:color w:val="auto"/>
          <w:sz w:val="30"/>
          <w:szCs w:val="30"/>
        </w:rPr>
      </w:pPr>
      <w:r>
        <w:rPr>
          <w:rFonts w:eastAsia="黑体"/>
          <w:color w:val="auto"/>
          <w:sz w:val="30"/>
          <w:szCs w:val="30"/>
        </w:rPr>
        <w:t>二、建设项目工程分析</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13" w:type="dxa"/>
          <w:left w:w="108" w:type="dxa"/>
          <w:bottom w:w="113" w:type="dxa"/>
          <w:right w:w="108" w:type="dxa"/>
        </w:tblCellMar>
      </w:tblPr>
      <w:tblGrid>
        <w:gridCol w:w="583"/>
        <w:gridCol w:w="8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12723" w:hRule="atLeast"/>
          <w:jc w:val="center"/>
        </w:trPr>
        <w:tc>
          <w:tcPr>
            <w:tcW w:w="583" w:type="dxa"/>
            <w:noWrap w:val="0"/>
            <w:vAlign w:val="center"/>
          </w:tcPr>
          <w:p>
            <w:pPr>
              <w:pStyle w:val="13"/>
              <w:adjustRightInd w:val="0"/>
              <w:snapToGrid w:val="0"/>
              <w:ind w:left="0" w:leftChars="0"/>
              <w:jc w:val="center"/>
              <w:rPr>
                <w:rFonts w:hint="default" w:ascii="Times New Roman" w:hAnsi="Times New Roman" w:eastAsia="宋体" w:cs="Times New Roman"/>
                <w:color w:val="auto"/>
              </w:rPr>
            </w:pPr>
            <w:r>
              <w:rPr>
                <w:rFonts w:hint="default" w:ascii="Times New Roman" w:hAnsi="Times New Roman" w:eastAsia="宋体" w:cs="Times New Roman"/>
                <w:b/>
                <w:bCs/>
                <w:color w:val="auto"/>
                <w:lang w:val="en-US" w:eastAsia="zh-CN"/>
              </w:rPr>
              <w:t>建设内容</w:t>
            </w:r>
          </w:p>
        </w:tc>
        <w:tc>
          <w:tcPr>
            <w:tcW w:w="8365" w:type="dxa"/>
            <w:noWrap w:val="0"/>
            <w:vAlign w:val="top"/>
          </w:tcPr>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建设背景</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napToGrid w:val="0"/>
                <w:color w:val="auto"/>
                <w:kern w:val="0"/>
                <w:sz w:val="24"/>
                <w:szCs w:val="24"/>
                <w:lang w:val="en-US" w:eastAsia="zh-CN" w:bidi="ar-SA"/>
              </w:rPr>
            </w:pPr>
            <w:r>
              <w:rPr>
                <w:rFonts w:hint="default" w:ascii="Times New Roman" w:hAnsi="Times New Roman" w:eastAsia="宋体" w:cs="Times New Roman"/>
                <w:bCs/>
                <w:snapToGrid w:val="0"/>
                <w:color w:val="auto"/>
                <w:kern w:val="0"/>
                <w:sz w:val="24"/>
                <w:szCs w:val="24"/>
                <w:lang w:val="en-US" w:eastAsia="zh-CN" w:bidi="ar-SA"/>
              </w:rPr>
              <w:t>沙坡头灌区七星渠灌域续建配套与现代化改造工程</w:t>
            </w:r>
            <w:r>
              <w:rPr>
                <w:rFonts w:hint="eastAsia"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“以下简称“七星渠工程”</w:t>
            </w:r>
            <w:r>
              <w:rPr>
                <w:rFonts w:hint="eastAsia"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是国家新增国债项目，主要任务是在现有工程基础上</w:t>
            </w:r>
            <w:r>
              <w:rPr>
                <w:rFonts w:hint="eastAsia" w:ascii="Times New Roman" w:hAnsi="Times New Roman" w:eastAsia="宋体"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对沙坡头灌区七星渠、高干渠骨干灌排工程进行提升改造，消除病险隐患，完善量测水设施和自动化设备，提高灌区供水保障能力和信息化管理水平。砌护改造渠道70.3公里，改造建筑物328座，建设渠道巡护路48.8公里。工程建成后，可改善灌溉面积229.21万亩。</w:t>
            </w:r>
          </w:p>
          <w:p>
            <w:pPr>
              <w:pStyle w:val="11"/>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snapToGrid w:val="0"/>
                <w:color w:val="auto"/>
                <w:kern w:val="0"/>
                <w:sz w:val="24"/>
                <w:szCs w:val="24"/>
                <w:lang w:val="en-US" w:eastAsia="zh-CN" w:bidi="ar-SA"/>
              </w:rPr>
            </w:pPr>
            <w:r>
              <w:rPr>
                <w:rFonts w:hint="default" w:ascii="Times New Roman" w:hAnsi="Times New Roman" w:eastAsia="宋体" w:cs="Times New Roman"/>
                <w:bCs/>
                <w:snapToGrid w:val="0"/>
                <w:color w:val="auto"/>
                <w:kern w:val="0"/>
                <w:sz w:val="24"/>
                <w:szCs w:val="24"/>
                <w:lang w:val="en-US" w:eastAsia="zh-CN" w:bidi="ar-SA"/>
              </w:rPr>
              <w:t>建设单位成功中标“七星渠工程”</w:t>
            </w:r>
            <w:r>
              <w:rPr>
                <w:rFonts w:hint="eastAsia" w:cs="Times New Roman"/>
                <w:bCs/>
                <w:snapToGrid w:val="0"/>
                <w:color w:val="auto"/>
                <w:kern w:val="0"/>
                <w:sz w:val="24"/>
                <w:szCs w:val="24"/>
                <w:lang w:val="en-US" w:eastAsia="zh-CN" w:bidi="ar-SA"/>
              </w:rPr>
              <w:t>1</w:t>
            </w:r>
            <w:r>
              <w:rPr>
                <w:rFonts w:hint="default" w:ascii="Times New Roman" w:hAnsi="Times New Roman" w:eastAsia="宋体" w:cs="Times New Roman"/>
                <w:bCs/>
                <w:snapToGrid w:val="0"/>
                <w:color w:val="auto"/>
                <w:kern w:val="0"/>
                <w:sz w:val="24"/>
                <w:szCs w:val="24"/>
                <w:lang w:val="en-US" w:eastAsia="zh-CN" w:bidi="ar-SA"/>
              </w:rPr>
              <w:t>标段施工任务，为保障工程施工进度，租用</w:t>
            </w:r>
            <w:r>
              <w:rPr>
                <w:rFonts w:hint="eastAsia" w:cs="Times New Roman"/>
                <w:bCs/>
                <w:snapToGrid w:val="0"/>
                <w:color w:val="auto"/>
                <w:kern w:val="0"/>
                <w:sz w:val="24"/>
                <w:szCs w:val="24"/>
                <w:lang w:val="en-US" w:eastAsia="zh-CN" w:bidi="ar-SA"/>
              </w:rPr>
              <w:t>宁夏中卫富贵养牛厂</w:t>
            </w:r>
            <w:r>
              <w:rPr>
                <w:rFonts w:hint="default" w:ascii="Times New Roman" w:hAnsi="Times New Roman" w:eastAsia="宋体" w:cs="Times New Roman"/>
                <w:bCs/>
                <w:snapToGrid w:val="0"/>
                <w:color w:val="auto"/>
                <w:kern w:val="0"/>
                <w:sz w:val="24"/>
                <w:szCs w:val="24"/>
                <w:lang w:val="en-US" w:eastAsia="zh-CN" w:bidi="ar-SA"/>
              </w:rPr>
              <w:t>的闲置厂区</w:t>
            </w:r>
            <w:r>
              <w:rPr>
                <w:rFonts w:hint="eastAsia" w:ascii="Times New Roman" w:hAnsi="Times New Roman" w:eastAsia="宋体" w:cs="Times New Roman"/>
                <w:bCs/>
                <w:snapToGrid w:val="0"/>
                <w:color w:val="auto"/>
                <w:kern w:val="0"/>
                <w:sz w:val="24"/>
                <w:szCs w:val="24"/>
                <w:lang w:val="en-US" w:eastAsia="zh-CN" w:bidi="ar-SA"/>
              </w:rPr>
              <w:t>，</w:t>
            </w:r>
            <w:r>
              <w:rPr>
                <w:rFonts w:hint="default" w:ascii="Times New Roman" w:hAnsi="Times New Roman" w:eastAsia="宋体" w:cs="Times New Roman"/>
                <w:bCs/>
                <w:snapToGrid w:val="0"/>
                <w:color w:val="auto"/>
                <w:kern w:val="0"/>
                <w:sz w:val="24"/>
                <w:szCs w:val="24"/>
                <w:lang w:val="en-US" w:eastAsia="zh-CN" w:bidi="ar-SA"/>
              </w:rPr>
              <w:t>建设型号为</w:t>
            </w:r>
            <w:r>
              <w:rPr>
                <w:rFonts w:hint="eastAsia" w:cs="Times New Roman"/>
                <w:bCs/>
                <w:snapToGrid w:val="0"/>
                <w:color w:val="auto"/>
                <w:kern w:val="0"/>
                <w:sz w:val="24"/>
                <w:szCs w:val="24"/>
                <w:lang w:val="en-US" w:eastAsia="zh-CN" w:bidi="ar-SA"/>
              </w:rPr>
              <w:t>2</w:t>
            </w:r>
            <w:r>
              <w:rPr>
                <w:rFonts w:hint="default" w:ascii="Times New Roman" w:hAnsi="Times New Roman" w:eastAsia="宋体" w:cs="Times New Roman"/>
                <w:bCs/>
                <w:snapToGrid w:val="0"/>
                <w:color w:val="auto"/>
                <w:kern w:val="0"/>
                <w:sz w:val="24"/>
                <w:szCs w:val="24"/>
                <w:lang w:val="en-US" w:eastAsia="zh-CN" w:bidi="ar-SA"/>
              </w:rPr>
              <w:t>HZS</w:t>
            </w:r>
            <w:r>
              <w:rPr>
                <w:rFonts w:hint="eastAsia" w:cs="Times New Roman"/>
                <w:bCs/>
                <w:snapToGrid w:val="0"/>
                <w:color w:val="auto"/>
                <w:kern w:val="0"/>
                <w:sz w:val="24"/>
                <w:szCs w:val="24"/>
                <w:lang w:val="en-US" w:eastAsia="zh-CN" w:bidi="ar-SA"/>
              </w:rPr>
              <w:t>180</w:t>
            </w:r>
            <w:r>
              <w:rPr>
                <w:rFonts w:hint="default" w:ascii="Times New Roman" w:hAnsi="Times New Roman" w:eastAsia="宋体" w:cs="Times New Roman"/>
                <w:bCs/>
                <w:snapToGrid w:val="0"/>
                <w:color w:val="auto"/>
                <w:kern w:val="0"/>
                <w:sz w:val="24"/>
                <w:szCs w:val="24"/>
                <w:lang w:val="en-US" w:eastAsia="zh-CN" w:bidi="ar-SA"/>
              </w:rPr>
              <w:t>R的临时混凝土搅拌站，</w:t>
            </w:r>
            <w:r>
              <w:rPr>
                <w:rFonts w:hint="eastAsia" w:cs="Times New Roman"/>
                <w:bCs/>
                <w:snapToGrid w:val="0"/>
                <w:color w:val="auto"/>
                <w:kern w:val="0"/>
                <w:sz w:val="24"/>
                <w:szCs w:val="24"/>
                <w:lang w:val="en-US" w:eastAsia="zh-CN" w:bidi="ar-SA"/>
              </w:rPr>
              <w:t>该搅拌站配套2条混凝土生产线，</w:t>
            </w:r>
            <w:r>
              <w:rPr>
                <w:rFonts w:hint="eastAsia" w:ascii="Times New Roman" w:hAnsi="Times New Roman" w:eastAsia="宋体" w:cs="Times New Roman"/>
                <w:bCs/>
                <w:snapToGrid w:val="0"/>
                <w:color w:val="auto"/>
                <w:kern w:val="0"/>
                <w:sz w:val="24"/>
                <w:szCs w:val="24"/>
                <w:lang w:val="en-US" w:eastAsia="zh-CN" w:bidi="ar-SA"/>
              </w:rPr>
              <w:t>配套满足</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混凝土使用需求。本项目作为临时工程，生产方案随</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建设进度而调整，运行期间生产周期不超过</w:t>
            </w:r>
            <w:r>
              <w:rPr>
                <w:rFonts w:hint="eastAsia" w:cs="Times New Roman"/>
                <w:bCs/>
                <w:snapToGrid w:val="0"/>
                <w:color w:val="auto"/>
                <w:kern w:val="0"/>
                <w:sz w:val="24"/>
                <w:szCs w:val="24"/>
                <w:lang w:val="en-US" w:eastAsia="zh-CN" w:bidi="ar-SA"/>
              </w:rPr>
              <w:t>450天</w:t>
            </w:r>
            <w:r>
              <w:rPr>
                <w:rFonts w:hint="eastAsia" w:ascii="Times New Roman" w:hAnsi="Times New Roman" w:eastAsia="宋体" w:cs="Times New Roman"/>
                <w:bCs/>
                <w:snapToGrid w:val="0"/>
                <w:color w:val="auto"/>
                <w:kern w:val="0"/>
                <w:sz w:val="24"/>
                <w:szCs w:val="24"/>
                <w:lang w:val="en-US" w:eastAsia="zh-CN" w:bidi="ar-SA"/>
              </w:rPr>
              <w:t>，总体计划于2</w:t>
            </w:r>
            <w:r>
              <w:rPr>
                <w:rFonts w:hint="default" w:ascii="Times New Roman" w:hAnsi="Times New Roman" w:eastAsia="宋体" w:cs="Times New Roman"/>
                <w:bCs/>
                <w:snapToGrid w:val="0"/>
                <w:color w:val="auto"/>
                <w:kern w:val="0"/>
                <w:sz w:val="24"/>
                <w:szCs w:val="24"/>
                <w:lang w:val="en-US" w:eastAsia="zh-CN" w:bidi="ar-SA"/>
              </w:rPr>
              <w:t>02</w:t>
            </w:r>
            <w:r>
              <w:rPr>
                <w:rFonts w:hint="eastAsia" w:cs="Times New Roman"/>
                <w:bCs/>
                <w:snapToGrid w:val="0"/>
                <w:color w:val="auto"/>
                <w:kern w:val="0"/>
                <w:sz w:val="24"/>
                <w:szCs w:val="24"/>
                <w:lang w:val="en-US" w:eastAsia="zh-CN" w:bidi="ar-SA"/>
              </w:rPr>
              <w:t>5</w:t>
            </w:r>
            <w:r>
              <w:rPr>
                <w:rFonts w:hint="eastAsia" w:ascii="Times New Roman" w:hAnsi="Times New Roman" w:eastAsia="宋体" w:cs="Times New Roman"/>
                <w:bCs/>
                <w:snapToGrid w:val="0"/>
                <w:color w:val="auto"/>
                <w:kern w:val="0"/>
                <w:sz w:val="24"/>
                <w:szCs w:val="24"/>
                <w:lang w:val="en-US" w:eastAsia="zh-CN" w:bidi="ar-SA"/>
              </w:rPr>
              <w:t>年</w:t>
            </w:r>
            <w:r>
              <w:rPr>
                <w:rFonts w:hint="eastAsia" w:cs="Times New Roman"/>
                <w:bCs/>
                <w:snapToGrid w:val="0"/>
                <w:color w:val="auto"/>
                <w:kern w:val="0"/>
                <w:sz w:val="24"/>
                <w:szCs w:val="24"/>
                <w:lang w:val="en-US" w:eastAsia="zh-CN" w:bidi="ar-SA"/>
              </w:rPr>
              <w:t>7</w:t>
            </w:r>
            <w:r>
              <w:rPr>
                <w:rFonts w:hint="eastAsia" w:ascii="Times New Roman" w:hAnsi="Times New Roman" w:eastAsia="宋体" w:cs="Times New Roman"/>
                <w:bCs/>
                <w:snapToGrid w:val="0"/>
                <w:color w:val="auto"/>
                <w:kern w:val="0"/>
                <w:sz w:val="24"/>
                <w:szCs w:val="24"/>
                <w:lang w:val="en-US" w:eastAsia="zh-CN" w:bidi="ar-SA"/>
              </w:rPr>
              <w:t>月结束生产供应，届时将对占用土地恢复原貌。由于</w:t>
            </w:r>
            <w:r>
              <w:rPr>
                <w:rFonts w:hint="default" w:ascii="Times New Roman" w:hAnsi="Times New Roman" w:eastAsia="宋体" w:cs="Times New Roman"/>
                <w:bCs/>
                <w:snapToGrid w:val="0"/>
                <w:color w:val="auto"/>
                <w:kern w:val="0"/>
                <w:sz w:val="24"/>
                <w:szCs w:val="24"/>
                <w:lang w:val="en-US" w:eastAsia="zh-CN" w:bidi="ar-SA"/>
              </w:rPr>
              <w:t>“七星渠工程”</w:t>
            </w:r>
            <w:r>
              <w:rPr>
                <w:rFonts w:hint="eastAsia" w:ascii="Times New Roman" w:hAnsi="Times New Roman" w:eastAsia="宋体" w:cs="Times New Roman"/>
                <w:bCs/>
                <w:snapToGrid w:val="0"/>
                <w:color w:val="auto"/>
                <w:kern w:val="0"/>
                <w:sz w:val="24"/>
                <w:szCs w:val="24"/>
                <w:lang w:val="en-US" w:eastAsia="zh-CN" w:bidi="ar-SA"/>
              </w:rPr>
              <w:t>环评期间未针对临时拌合站内容进行评价，因此本项目单独履行环评手续。</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项目概况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bCs/>
                <w:snapToGrid w:val="0"/>
                <w:color w:val="auto"/>
                <w:kern w:val="0"/>
                <w:sz w:val="24"/>
                <w:szCs w:val="24"/>
              </w:rPr>
              <w:t>项目名称：</w:t>
            </w:r>
            <w:r>
              <w:rPr>
                <w:rFonts w:hint="eastAsia" w:cs="Times New Roman"/>
                <w:bCs/>
                <w:snapToGrid w:val="0"/>
                <w:color w:val="auto"/>
                <w:kern w:val="0"/>
                <w:sz w:val="24"/>
                <w:szCs w:val="24"/>
                <w:lang w:val="en-US" w:eastAsia="zh-CN"/>
              </w:rPr>
              <w:t>沙坡头灌区七星渠灌域续建配套与现代化改造工程1标段</w:t>
            </w:r>
            <w:r>
              <w:rPr>
                <w:rFonts w:hint="default" w:ascii="Times New Roman" w:hAnsi="Times New Roman" w:eastAsia="宋体" w:cs="Times New Roman"/>
                <w:bCs/>
                <w:snapToGrid w:val="0"/>
                <w:color w:val="auto"/>
                <w:kern w:val="0"/>
                <w:sz w:val="24"/>
                <w:szCs w:val="24"/>
                <w:lang w:val="en-US" w:eastAsia="zh-CN"/>
              </w:rPr>
              <w:t>—</w:t>
            </w:r>
            <w:r>
              <w:rPr>
                <w:rFonts w:hint="eastAsia" w:cs="Times New Roman"/>
                <w:bCs/>
                <w:snapToGrid w:val="0"/>
                <w:color w:val="auto"/>
                <w:kern w:val="0"/>
                <w:sz w:val="24"/>
                <w:szCs w:val="24"/>
                <w:lang w:val="en-US" w:eastAsia="zh-CN"/>
              </w:rPr>
              <w:t>宁夏水利水电工程局有限公司</w:t>
            </w:r>
            <w:r>
              <w:rPr>
                <w:rFonts w:hint="default" w:ascii="Times New Roman" w:hAnsi="Times New Roman" w:eastAsia="宋体" w:cs="Times New Roman"/>
                <w:bCs/>
                <w:snapToGrid w:val="0"/>
                <w:color w:val="auto"/>
                <w:kern w:val="0"/>
                <w:sz w:val="24"/>
                <w:szCs w:val="24"/>
                <w:lang w:val="en-US" w:eastAsia="zh-CN"/>
              </w:rPr>
              <w:t>临时搅拌站项目</w:t>
            </w:r>
            <w:r>
              <w:rPr>
                <w:rFonts w:hint="default" w:ascii="Times New Roman" w:hAnsi="Times New Roman" w:eastAsia="宋体" w:cs="Times New Roman"/>
                <w:bCs/>
                <w:snapToGrid w:val="0"/>
                <w:color w:val="auto"/>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rPr>
            </w:pPr>
            <w:r>
              <w:rPr>
                <w:rFonts w:hint="default" w:ascii="Times New Roman" w:hAnsi="Times New Roman" w:eastAsia="宋体" w:cs="Times New Roman"/>
                <w:snapToGrid w:val="0"/>
                <w:color w:val="auto"/>
                <w:kern w:val="0"/>
                <w:sz w:val="24"/>
                <w:szCs w:val="24"/>
              </w:rPr>
              <w:t>建设性质：</w:t>
            </w:r>
            <w:r>
              <w:rPr>
                <w:rFonts w:hint="default" w:ascii="Times New Roman" w:hAnsi="Times New Roman" w:eastAsia="宋体" w:cs="Times New Roman"/>
                <w:snapToGrid w:val="0"/>
                <w:color w:val="auto"/>
                <w:kern w:val="0"/>
                <w:sz w:val="24"/>
                <w:szCs w:val="24"/>
                <w:lang w:val="en-US" w:eastAsia="zh-CN"/>
              </w:rPr>
              <w:t>新建</w:t>
            </w:r>
            <w:r>
              <w:rPr>
                <w:rFonts w:hint="default" w:ascii="Times New Roman" w:hAnsi="Times New Roman" w:eastAsia="宋体" w:cs="Times New Roman"/>
                <w:snapToGrid w:val="0"/>
                <w:color w:val="auto"/>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建设单位：</w:t>
            </w:r>
            <w:r>
              <w:rPr>
                <w:rFonts w:hint="eastAsia" w:cs="Times New Roman"/>
                <w:bCs/>
                <w:snapToGrid w:val="0"/>
                <w:color w:val="auto"/>
                <w:kern w:val="0"/>
                <w:sz w:val="24"/>
                <w:szCs w:val="24"/>
                <w:lang w:val="en-US" w:eastAsia="zh-CN"/>
              </w:rPr>
              <w:t>宁夏水利水电工程局有限公司</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行业类别：二十七、非金属矿物制品业30（55.石膏、水泥制品及类似制品制造）</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highlight w:val="yellow"/>
                <w:lang w:val="en-US" w:eastAsia="zh-CN"/>
              </w:rPr>
            </w:pPr>
            <w:r>
              <w:rPr>
                <w:rFonts w:hint="default" w:ascii="Times New Roman" w:hAnsi="Times New Roman" w:eastAsia="宋体" w:cs="Times New Roman"/>
                <w:color w:val="auto"/>
                <w:sz w:val="24"/>
                <w:szCs w:val="24"/>
                <w:highlight w:val="none"/>
                <w:lang w:val="en-US" w:eastAsia="zh-CN"/>
              </w:rPr>
              <w:t>劳动定员及运行制度：</w:t>
            </w:r>
            <w:r>
              <w:rPr>
                <w:rFonts w:hint="default" w:ascii="Times New Roman" w:hAnsi="Times New Roman" w:eastAsia="宋体" w:cs="Times New Roman"/>
                <w:color w:val="auto"/>
                <w:sz w:val="24"/>
                <w:szCs w:val="24"/>
                <w:lang w:val="en-US" w:eastAsia="zh-CN"/>
              </w:rPr>
              <w:t>项目劳动定员</w:t>
            </w:r>
            <w:r>
              <w:rPr>
                <w:rFonts w:hint="eastAsia" w:cs="Times New Roman"/>
                <w:color w:val="auto"/>
                <w:sz w:val="24"/>
                <w:szCs w:val="24"/>
                <w:lang w:val="en-US" w:eastAsia="zh-CN"/>
              </w:rPr>
              <w:t>20</w:t>
            </w:r>
            <w:r>
              <w:rPr>
                <w:rFonts w:hint="default" w:ascii="Times New Roman" w:hAnsi="Times New Roman" w:eastAsia="宋体" w:cs="Times New Roman"/>
                <w:color w:val="auto"/>
                <w:sz w:val="24"/>
                <w:szCs w:val="24"/>
                <w:lang w:val="en-US" w:eastAsia="zh-CN"/>
              </w:rPr>
              <w:t>人，每日工作</w:t>
            </w:r>
            <w:r>
              <w:rPr>
                <w:rFonts w:hint="eastAsia" w:cs="Times New Roman"/>
                <w:color w:val="auto"/>
                <w:sz w:val="24"/>
                <w:szCs w:val="24"/>
                <w:lang w:val="en-US" w:eastAsia="zh-CN"/>
              </w:rPr>
              <w:t>12</w:t>
            </w:r>
            <w:r>
              <w:rPr>
                <w:rFonts w:hint="default" w:ascii="Times New Roman" w:hAnsi="Times New Roman" w:eastAsia="宋体" w:cs="Times New Roman"/>
                <w:color w:val="auto"/>
                <w:sz w:val="24"/>
                <w:szCs w:val="24"/>
                <w:lang w:val="en-US" w:eastAsia="zh-CN"/>
              </w:rPr>
              <w:t>小时，</w:t>
            </w:r>
            <w:r>
              <w:rPr>
                <w:rFonts w:hint="eastAsia" w:cs="Times New Roman"/>
                <w:color w:val="auto"/>
                <w:sz w:val="24"/>
                <w:szCs w:val="24"/>
                <w:lang w:val="en-US" w:eastAsia="zh-CN"/>
              </w:rPr>
              <w:t>共计450天，根据七星渠1标段工程实际混凝土需求，工作天数及时长有所调整。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建设项目投资情况：总投资</w:t>
            </w:r>
            <w:r>
              <w:rPr>
                <w:rFonts w:hint="eastAsia" w:cs="Times New Roman"/>
                <w:color w:val="auto"/>
                <w:sz w:val="24"/>
                <w:szCs w:val="24"/>
                <w:highlight w:val="none"/>
                <w:lang w:val="en-US" w:eastAsia="zh-CN"/>
              </w:rPr>
              <w:t>420</w:t>
            </w:r>
            <w:r>
              <w:rPr>
                <w:rFonts w:hint="default" w:ascii="Times New Roman" w:hAnsi="Times New Roman" w:eastAsia="宋体" w:cs="Times New Roman"/>
                <w:color w:val="auto"/>
                <w:sz w:val="24"/>
                <w:szCs w:val="24"/>
                <w:highlight w:val="none"/>
                <w:lang w:val="en-US" w:eastAsia="zh-CN"/>
              </w:rPr>
              <w:t>万元，其中环保投资</w:t>
            </w:r>
            <w:r>
              <w:rPr>
                <w:rFonts w:hint="eastAsia" w:cs="Times New Roman"/>
                <w:color w:val="auto"/>
                <w:sz w:val="24"/>
                <w:szCs w:val="24"/>
                <w:highlight w:val="none"/>
                <w:lang w:val="en-US" w:eastAsia="zh-CN"/>
              </w:rPr>
              <w:t>19.8</w:t>
            </w:r>
            <w:r>
              <w:rPr>
                <w:rFonts w:hint="default" w:ascii="Times New Roman" w:hAnsi="Times New Roman" w:eastAsia="宋体" w:cs="Times New Roman"/>
                <w:color w:val="auto"/>
                <w:sz w:val="24"/>
                <w:szCs w:val="24"/>
                <w:highlight w:val="none"/>
                <w:lang w:val="en-US" w:eastAsia="zh-CN"/>
              </w:rPr>
              <w:t>万元，占总投资的</w:t>
            </w:r>
            <w:r>
              <w:rPr>
                <w:rFonts w:hint="eastAsia" w:cs="Times New Roman"/>
                <w:color w:val="auto"/>
                <w:sz w:val="24"/>
                <w:szCs w:val="24"/>
                <w:highlight w:val="none"/>
                <w:lang w:val="en-US" w:eastAsia="zh-CN"/>
              </w:rPr>
              <w:t>4.71</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szCs w:val="24"/>
                <w:highlight w:val="yellow"/>
                <w:shd w:val="clear"/>
                <w:lang w:val="en-US" w:eastAsia="zh-CN"/>
              </w:rPr>
            </w:pPr>
            <w:r>
              <w:rPr>
                <w:rFonts w:hint="default" w:ascii="Times New Roman" w:hAnsi="Times New Roman" w:eastAsia="宋体" w:cs="Times New Roman"/>
                <w:snapToGrid w:val="0"/>
                <w:color w:val="auto"/>
                <w:kern w:val="0"/>
                <w:sz w:val="24"/>
                <w:szCs w:val="24"/>
                <w:u w:val="none"/>
              </w:rPr>
              <w:t>建设地点：</w:t>
            </w:r>
            <w:r>
              <w:rPr>
                <w:rFonts w:hint="eastAsia" w:cs="Times New Roman"/>
                <w:color w:val="auto"/>
                <w:sz w:val="24"/>
                <w:szCs w:val="24"/>
                <w:highlight w:val="none"/>
                <w:lang w:eastAsia="zh-CN"/>
              </w:rPr>
              <w:t>本项目位于宁夏回族自治区中卫市沙坡头区永康镇宁夏中卫富贵养牛厂闲置空地</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中心地理坐标：E105°</w:t>
            </w:r>
            <w:r>
              <w:rPr>
                <w:rFonts w:hint="eastAsia" w:cs="Times New Roman"/>
                <w:color w:val="auto"/>
                <w:sz w:val="24"/>
                <w:szCs w:val="24"/>
                <w:lang w:val="en-US" w:eastAsia="zh-CN"/>
              </w:rPr>
              <w:t>17</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18.722</w:t>
            </w:r>
            <w:r>
              <w:rPr>
                <w:rFonts w:hint="default" w:ascii="Times New Roman" w:hAnsi="Times New Roman" w:eastAsia="宋体" w:cs="Times New Roman"/>
                <w:color w:val="auto"/>
                <w:sz w:val="24"/>
                <w:szCs w:val="24"/>
                <w:lang w:val="en-US" w:eastAsia="zh-CN"/>
              </w:rPr>
              <w:t>″，N37°2</w:t>
            </w:r>
            <w:r>
              <w:rPr>
                <w:rFonts w:hint="eastAsia"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50.893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snapToGrid w:val="0"/>
                <w:color w:val="auto"/>
                <w:kern w:val="0"/>
                <w:sz w:val="24"/>
                <w:szCs w:val="24"/>
                <w:highlight w:val="none"/>
                <w:shd w:val="clear"/>
              </w:rPr>
              <w:t>项目</w:t>
            </w:r>
            <w:r>
              <w:rPr>
                <w:rFonts w:hint="default" w:ascii="Times New Roman" w:hAnsi="Times New Roman" w:eastAsia="宋体" w:cs="Times New Roman"/>
                <w:snapToGrid w:val="0"/>
                <w:color w:val="auto"/>
                <w:kern w:val="0"/>
                <w:sz w:val="24"/>
                <w:szCs w:val="24"/>
                <w:highlight w:val="none"/>
                <w:shd w:val="clear"/>
                <w:lang w:val="en-US" w:eastAsia="zh-CN"/>
              </w:rPr>
              <w:t>所在</w:t>
            </w:r>
            <w:r>
              <w:rPr>
                <w:rFonts w:hint="default" w:ascii="Times New Roman" w:hAnsi="Times New Roman" w:eastAsia="宋体" w:cs="Times New Roman"/>
                <w:snapToGrid w:val="0"/>
                <w:color w:val="auto"/>
                <w:kern w:val="0"/>
                <w:sz w:val="24"/>
                <w:szCs w:val="24"/>
                <w:highlight w:val="none"/>
                <w:shd w:val="clear"/>
              </w:rPr>
              <w:t>地理位置</w:t>
            </w:r>
            <w:r>
              <w:rPr>
                <w:rFonts w:hint="default" w:ascii="Times New Roman" w:hAnsi="Times New Roman" w:eastAsia="宋体" w:cs="Times New Roman"/>
                <w:snapToGrid w:val="0"/>
                <w:color w:val="auto"/>
                <w:kern w:val="0"/>
                <w:sz w:val="24"/>
                <w:szCs w:val="24"/>
                <w:highlight w:val="none"/>
                <w:lang w:val="en-US" w:eastAsia="zh-CN"/>
              </w:rPr>
              <w:t>见附图7</w:t>
            </w:r>
            <w:r>
              <w:rPr>
                <w:rFonts w:hint="default" w:ascii="Times New Roman" w:hAnsi="Times New Roman" w:eastAsia="宋体" w:cs="Times New Roman"/>
                <w:snapToGrid w:val="0"/>
                <w:color w:val="auto"/>
                <w:kern w:val="0"/>
                <w:sz w:val="24"/>
                <w:szCs w:val="24"/>
                <w:highlight w:val="none"/>
                <w:shd w:val="clear"/>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本项目</w:t>
            </w:r>
            <w:r>
              <w:rPr>
                <w:rFonts w:hint="eastAsia" w:cs="Times New Roman"/>
                <w:color w:val="auto"/>
                <w:sz w:val="24"/>
                <w:szCs w:val="24"/>
                <w:lang w:val="en-US" w:eastAsia="zh-CN"/>
              </w:rPr>
              <w:t>建设搅拌站型号为</w:t>
            </w:r>
            <w:r>
              <w:rPr>
                <w:rFonts w:hint="eastAsia" w:cs="Times New Roman"/>
                <w:bCs/>
                <w:snapToGrid w:val="0"/>
                <w:color w:val="auto"/>
                <w:kern w:val="0"/>
                <w:sz w:val="24"/>
                <w:szCs w:val="24"/>
                <w:lang w:val="en-US" w:eastAsia="zh-CN" w:bidi="ar-SA"/>
              </w:rPr>
              <w:t>2</w:t>
            </w:r>
            <w:r>
              <w:rPr>
                <w:rFonts w:hint="default" w:ascii="Times New Roman" w:hAnsi="Times New Roman" w:eastAsia="宋体" w:cs="Times New Roman"/>
                <w:bCs/>
                <w:snapToGrid w:val="0"/>
                <w:color w:val="auto"/>
                <w:kern w:val="0"/>
                <w:sz w:val="24"/>
                <w:szCs w:val="24"/>
                <w:lang w:val="en-US" w:eastAsia="zh-CN" w:bidi="ar-SA"/>
              </w:rPr>
              <w:t>HZS</w:t>
            </w:r>
            <w:r>
              <w:rPr>
                <w:rFonts w:hint="eastAsia" w:cs="Times New Roman"/>
                <w:bCs/>
                <w:snapToGrid w:val="0"/>
                <w:color w:val="auto"/>
                <w:kern w:val="0"/>
                <w:sz w:val="24"/>
                <w:szCs w:val="24"/>
                <w:lang w:val="en-US" w:eastAsia="zh-CN" w:bidi="ar-SA"/>
              </w:rPr>
              <w:t>180，配套两</w:t>
            </w:r>
            <w:r>
              <w:rPr>
                <w:rFonts w:hint="default" w:ascii="Times New Roman" w:hAnsi="Times New Roman" w:eastAsia="宋体" w:cs="Times New Roman"/>
                <w:color w:val="auto"/>
                <w:sz w:val="24"/>
                <w:szCs w:val="24"/>
                <w:lang w:val="en-US" w:eastAsia="zh-CN"/>
              </w:rPr>
              <w:t>条临时混凝土生产线，</w:t>
            </w:r>
            <w:r>
              <w:rPr>
                <w:rFonts w:hint="eastAsia" w:cs="Times New Roman"/>
                <w:color w:val="auto"/>
                <w:sz w:val="24"/>
                <w:szCs w:val="24"/>
                <w:lang w:val="en-US" w:eastAsia="zh-CN"/>
              </w:rPr>
              <w:t>运营周期内生产混凝土共计10万m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为</w:t>
            </w:r>
            <w:r>
              <w:rPr>
                <w:rFonts w:hint="eastAsia" w:cs="Times New Roman"/>
                <w:color w:val="auto"/>
                <w:sz w:val="24"/>
                <w:szCs w:val="24"/>
                <w:lang w:val="en-US" w:eastAsia="zh-CN"/>
              </w:rPr>
              <w:t>沙坡头灌区七星渠灌域续建配套与现代化改造工程1标段</w:t>
            </w:r>
            <w:r>
              <w:rPr>
                <w:rFonts w:hint="default" w:ascii="Times New Roman" w:hAnsi="Times New Roman" w:eastAsia="宋体" w:cs="Times New Roman"/>
                <w:color w:val="auto"/>
                <w:sz w:val="24"/>
                <w:szCs w:val="24"/>
                <w:lang w:val="en-US" w:eastAsia="zh-CN"/>
              </w:rPr>
              <w:t>提供施工材料，</w:t>
            </w:r>
            <w:r>
              <w:rPr>
                <w:rFonts w:hint="eastAsia" w:cs="Times New Roman"/>
                <w:color w:val="auto"/>
                <w:sz w:val="24"/>
                <w:szCs w:val="24"/>
                <w:lang w:val="en-US" w:eastAsia="zh-CN"/>
              </w:rPr>
              <w:t>临时</w:t>
            </w:r>
            <w:r>
              <w:rPr>
                <w:rFonts w:hint="default" w:ascii="Times New Roman" w:hAnsi="Times New Roman" w:eastAsia="宋体" w:cs="Times New Roman"/>
                <w:color w:val="auto"/>
                <w:sz w:val="24"/>
                <w:szCs w:val="24"/>
                <w:lang w:val="en-US" w:eastAsia="zh-CN"/>
              </w:rPr>
              <w:t>总占地面积为</w:t>
            </w:r>
            <w:r>
              <w:rPr>
                <w:rFonts w:hint="eastAsia" w:cs="Times New Roman"/>
                <w:color w:val="auto"/>
                <w:sz w:val="24"/>
                <w:szCs w:val="24"/>
                <w:lang w:val="en-US" w:eastAsia="zh-CN"/>
              </w:rPr>
              <w:t>12000</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bCs/>
                <w:snapToGrid w:val="0"/>
                <w:color w:val="auto"/>
                <w:kern w:val="0"/>
                <w:sz w:val="24"/>
                <w:szCs w:val="24"/>
                <w:lang w:val="en-US" w:eastAsia="zh-CN"/>
              </w:rPr>
              <w:t>。主要</w:t>
            </w:r>
            <w:r>
              <w:rPr>
                <w:rFonts w:hint="default" w:ascii="Times New Roman" w:hAnsi="Times New Roman" w:eastAsia="宋体" w:cs="Times New Roman"/>
                <w:color w:val="auto"/>
                <w:sz w:val="24"/>
                <w:szCs w:val="24"/>
                <w:lang w:val="en-US" w:eastAsia="zh-CN"/>
              </w:rPr>
              <w:t>包括</w:t>
            </w:r>
            <w:r>
              <w:rPr>
                <w:rFonts w:hint="eastAsia" w:cs="Times New Roman"/>
                <w:color w:val="auto"/>
                <w:sz w:val="24"/>
                <w:szCs w:val="24"/>
                <w:lang w:val="en-US" w:eastAsia="zh-CN"/>
              </w:rPr>
              <w:t>原料仓</w:t>
            </w:r>
            <w:r>
              <w:rPr>
                <w:rFonts w:hint="default" w:ascii="Times New Roman" w:hAnsi="Times New Roman" w:eastAsia="宋体" w:cs="Times New Roman"/>
                <w:color w:val="auto"/>
                <w:sz w:val="24"/>
                <w:szCs w:val="24"/>
                <w:lang w:val="en-US" w:eastAsia="zh-CN"/>
              </w:rPr>
              <w:t>、骨料计量输送系统、粉料供给计量系统、搅拌站主楼及配套的公辅工程和环保工程。项目具体建设工程内容见表2-1。</w:t>
            </w:r>
          </w:p>
          <w:p>
            <w:pPr>
              <w:pStyle w:val="21"/>
              <w:keepNext w:val="0"/>
              <w:keepLines w:val="0"/>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表2-1  本项目工程组成一览表</w:t>
            </w:r>
          </w:p>
          <w:tbl>
            <w:tblPr>
              <w:tblStyle w:val="23"/>
              <w:tblW w:w="773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0"/>
              <w:gridCol w:w="417"/>
              <w:gridCol w:w="740"/>
              <w:gridCol w:w="5461"/>
              <w:gridCol w:w="716"/>
              <w:gridCol w:w="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 w:hRule="atLeast"/>
              </w:trPr>
              <w:tc>
                <w:tcPr>
                  <w:tcW w:w="1557" w:type="dxa"/>
                  <w:gridSpan w:val="3"/>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项目</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建设内容</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主体工程</w:t>
                  </w:r>
                </w:p>
              </w:tc>
              <w:tc>
                <w:tcPr>
                  <w:tcW w:w="417"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HZS2</w:t>
                  </w:r>
                </w:p>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4</w:t>
                  </w:r>
                </w:p>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0R搅拌站</w:t>
                  </w: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骨料计量输送系统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0"/>
                      <w:sz w:val="21"/>
                      <w:szCs w:val="21"/>
                      <w:lang w:val="en-US" w:eastAsia="zh-CN" w:bidi="ar"/>
                    </w:rPr>
                  </w:pPr>
                  <w:r>
                    <w:rPr>
                      <w:rFonts w:hint="eastAsia" w:cs="Times New Roman"/>
                      <w:b w:val="0"/>
                      <w:bCs w:val="0"/>
                      <w:color w:val="auto"/>
                      <w:kern w:val="0"/>
                      <w:sz w:val="21"/>
                      <w:szCs w:val="21"/>
                      <w:lang w:val="en-US" w:eastAsia="zh-CN" w:bidi="ar"/>
                    </w:rPr>
                    <w:t>搅拌站内包括两个骨料计量输送系统。每个</w:t>
                  </w:r>
                  <w:r>
                    <w:rPr>
                      <w:rFonts w:hint="default" w:ascii="Times New Roman" w:hAnsi="Times New Roman" w:eastAsia="宋体" w:cs="Times New Roman"/>
                      <w:b w:val="0"/>
                      <w:bCs w:val="0"/>
                      <w:color w:val="auto"/>
                      <w:kern w:val="0"/>
                      <w:sz w:val="21"/>
                      <w:szCs w:val="21"/>
                      <w:lang w:val="en-US" w:eastAsia="zh-CN" w:bidi="ar"/>
                    </w:rPr>
                    <w:t>骨料计量输送系统由</w:t>
                  </w:r>
                  <w:r>
                    <w:rPr>
                      <w:rFonts w:hint="eastAsia" w:cs="Times New Roman"/>
                      <w:b w:val="0"/>
                      <w:bCs w:val="0"/>
                      <w:color w:val="auto"/>
                      <w:kern w:val="0"/>
                      <w:sz w:val="21"/>
                      <w:szCs w:val="21"/>
                      <w:lang w:val="en-US" w:eastAsia="zh-CN" w:bidi="ar"/>
                    </w:rPr>
                    <w:t>4个</w:t>
                  </w:r>
                  <w:r>
                    <w:rPr>
                      <w:rFonts w:hint="default" w:ascii="Times New Roman" w:hAnsi="Times New Roman" w:eastAsia="宋体" w:cs="Times New Roman"/>
                      <w:b w:val="0"/>
                      <w:bCs w:val="0"/>
                      <w:color w:val="auto"/>
                      <w:kern w:val="0"/>
                      <w:sz w:val="21"/>
                      <w:szCs w:val="21"/>
                      <w:lang w:val="en-US" w:eastAsia="zh-CN" w:bidi="ar"/>
                    </w:rPr>
                    <w:t>配料机、</w:t>
                  </w:r>
                  <w:r>
                    <w:rPr>
                      <w:rFonts w:hint="eastAsia" w:cs="Times New Roman"/>
                      <w:b w:val="0"/>
                      <w:bCs w:val="0"/>
                      <w:color w:val="auto"/>
                      <w:kern w:val="0"/>
                      <w:sz w:val="21"/>
                      <w:szCs w:val="21"/>
                      <w:lang w:val="en-US" w:eastAsia="zh-CN" w:bidi="ar"/>
                    </w:rPr>
                    <w:t>1个</w:t>
                  </w:r>
                  <w:r>
                    <w:rPr>
                      <w:rFonts w:hint="default" w:ascii="Times New Roman" w:hAnsi="Times New Roman" w:eastAsia="宋体" w:cs="Times New Roman"/>
                      <w:b w:val="0"/>
                      <w:bCs w:val="0"/>
                      <w:color w:val="auto"/>
                      <w:kern w:val="0"/>
                      <w:sz w:val="21"/>
                      <w:szCs w:val="21"/>
                      <w:lang w:val="en-US" w:eastAsia="zh-CN" w:bidi="ar"/>
                    </w:rPr>
                    <w:t>皮带机和</w:t>
                  </w:r>
                  <w:r>
                    <w:rPr>
                      <w:rFonts w:hint="eastAsia" w:cs="Times New Roman"/>
                      <w:b w:val="0"/>
                      <w:bCs w:val="0"/>
                      <w:color w:val="auto"/>
                      <w:kern w:val="0"/>
                      <w:sz w:val="21"/>
                      <w:szCs w:val="21"/>
                      <w:lang w:val="en-US" w:eastAsia="zh-CN" w:bidi="ar"/>
                    </w:rPr>
                    <w:t>1个</w:t>
                  </w:r>
                  <w:r>
                    <w:rPr>
                      <w:rFonts w:hint="default" w:ascii="Times New Roman" w:hAnsi="Times New Roman" w:eastAsia="宋体" w:cs="Times New Roman"/>
                      <w:b w:val="0"/>
                      <w:bCs w:val="0"/>
                      <w:color w:val="auto"/>
                      <w:kern w:val="0"/>
                      <w:sz w:val="21"/>
                      <w:szCs w:val="21"/>
                      <w:lang w:val="en-US" w:eastAsia="zh-CN" w:bidi="ar"/>
                    </w:rPr>
                    <w:t>骨料中间仓组成。水洗砂及石料（</w:t>
                  </w:r>
                  <w:r>
                    <w:rPr>
                      <w:rFonts w:hint="eastAsia" w:cs="Times New Roman"/>
                      <w:b w:val="0"/>
                      <w:bCs w:val="0"/>
                      <w:color w:val="auto"/>
                      <w:kern w:val="0"/>
                      <w:sz w:val="21"/>
                      <w:szCs w:val="21"/>
                      <w:lang w:val="en-US" w:eastAsia="zh-CN" w:bidi="ar"/>
                    </w:rPr>
                    <w:t>5-10</w:t>
                  </w:r>
                  <w:r>
                    <w:rPr>
                      <w:rFonts w:hint="default" w:ascii="Times New Roman" w:hAnsi="Times New Roman" w:eastAsia="宋体" w:cs="Times New Roman"/>
                      <w:b w:val="0"/>
                      <w:bCs w:val="0"/>
                      <w:color w:val="auto"/>
                      <w:kern w:val="0"/>
                      <w:sz w:val="21"/>
                      <w:szCs w:val="21"/>
                      <w:lang w:val="en-US" w:eastAsia="zh-CN" w:bidi="ar"/>
                    </w:rPr>
                    <w:t>mm、5-20mm和</w:t>
                  </w:r>
                  <w:r>
                    <w:rPr>
                      <w:rFonts w:hint="eastAsia" w:cs="Times New Roman"/>
                      <w:b w:val="0"/>
                      <w:bCs w:val="0"/>
                      <w:color w:val="auto"/>
                      <w:kern w:val="0"/>
                      <w:sz w:val="21"/>
                      <w:szCs w:val="21"/>
                      <w:lang w:val="en-US" w:eastAsia="zh-CN" w:bidi="ar"/>
                    </w:rPr>
                    <w:t>16-31.5</w:t>
                  </w:r>
                  <w:r>
                    <w:rPr>
                      <w:rFonts w:hint="default" w:ascii="Times New Roman" w:hAnsi="Times New Roman" w:eastAsia="宋体" w:cs="Times New Roman"/>
                      <w:b w:val="0"/>
                      <w:bCs w:val="0"/>
                      <w:color w:val="auto"/>
                      <w:kern w:val="0"/>
                      <w:sz w:val="21"/>
                      <w:szCs w:val="21"/>
                      <w:lang w:val="en-US" w:eastAsia="zh-CN" w:bidi="ar"/>
                    </w:rPr>
                    <w:t>mm三种规格）由铲车送至配料机储料仓内，搅拌站工作时，通过自动控制的气缸将骨料卸入到称斗中称量，通过皮带机输送至骨料中间仓。</w:t>
                  </w:r>
                </w:p>
              </w:tc>
              <w:tc>
                <w:tcPr>
                  <w:tcW w:w="7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新建</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87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粉料供给计量系统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0"/>
                      <w:sz w:val="21"/>
                      <w:szCs w:val="21"/>
                      <w:lang w:val="en-US" w:eastAsia="zh-CN" w:bidi="ar"/>
                    </w:rPr>
                    <w:t>搅拌站内包括两个粉料供给计量系统。每个</w:t>
                  </w:r>
                  <w:r>
                    <w:rPr>
                      <w:rFonts w:hint="default" w:ascii="Times New Roman" w:hAnsi="Times New Roman" w:eastAsia="宋体" w:cs="Times New Roman"/>
                      <w:b w:val="0"/>
                      <w:bCs w:val="0"/>
                      <w:color w:val="auto"/>
                      <w:kern w:val="2"/>
                      <w:sz w:val="21"/>
                      <w:szCs w:val="21"/>
                      <w:lang w:val="en-US" w:eastAsia="zh-CN" w:bidi="ar-SA"/>
                    </w:rPr>
                    <w:t>粉料供给计量系统由</w:t>
                  </w:r>
                  <w:r>
                    <w:rPr>
                      <w:rFonts w:hint="eastAsia" w:cs="Times New Roman"/>
                      <w:b w:val="0"/>
                      <w:bCs w:val="0"/>
                      <w:color w:val="auto"/>
                      <w:kern w:val="2"/>
                      <w:sz w:val="21"/>
                      <w:szCs w:val="21"/>
                      <w:lang w:val="en-US" w:eastAsia="zh-CN" w:bidi="ar-SA"/>
                    </w:rPr>
                    <w:t>4个</w:t>
                  </w:r>
                  <w:r>
                    <w:rPr>
                      <w:rFonts w:hint="default" w:ascii="Times New Roman" w:hAnsi="Times New Roman" w:eastAsia="宋体" w:cs="Times New Roman"/>
                      <w:b w:val="0"/>
                      <w:bCs w:val="0"/>
                      <w:color w:val="auto"/>
                      <w:kern w:val="2"/>
                      <w:sz w:val="21"/>
                      <w:szCs w:val="21"/>
                      <w:lang w:val="en-US" w:eastAsia="zh-CN" w:bidi="ar-SA"/>
                    </w:rPr>
                    <w:t>筒仓</w:t>
                  </w:r>
                  <w:r>
                    <w:rPr>
                      <w:rFonts w:hint="eastAsia" w:cs="Times New Roman"/>
                      <w:b w:val="0"/>
                      <w:bCs w:val="0"/>
                      <w:color w:val="auto"/>
                      <w:kern w:val="2"/>
                      <w:sz w:val="21"/>
                      <w:szCs w:val="21"/>
                      <w:lang w:val="en-US" w:eastAsia="zh-CN" w:bidi="ar-SA"/>
                    </w:rPr>
                    <w:t>（1</w:t>
                  </w:r>
                  <w:r>
                    <w:rPr>
                      <w:rFonts w:hint="default" w:ascii="Times New Roman" w:hAnsi="Times New Roman" w:eastAsia="宋体" w:cs="Times New Roman"/>
                      <w:b w:val="0"/>
                      <w:bCs w:val="0"/>
                      <w:color w:val="auto"/>
                      <w:kern w:val="2"/>
                      <w:sz w:val="21"/>
                      <w:szCs w:val="21"/>
                      <w:lang w:val="en-US" w:eastAsia="zh-CN" w:bidi="ar-SA"/>
                    </w:rPr>
                    <w:t>个</w:t>
                  </w:r>
                  <w:r>
                    <w:rPr>
                      <w:rFonts w:hint="eastAsia" w:cs="Times New Roman"/>
                      <w:b w:val="0"/>
                      <w:bCs w:val="0"/>
                      <w:color w:val="auto"/>
                      <w:kern w:val="2"/>
                      <w:sz w:val="21"/>
                      <w:szCs w:val="21"/>
                      <w:lang w:val="en-US" w:eastAsia="zh-CN" w:bidi="ar-SA"/>
                    </w:rPr>
                    <w:t>150</w:t>
                  </w:r>
                  <w:r>
                    <w:rPr>
                      <w:rFonts w:hint="default" w:ascii="Times New Roman" w:hAnsi="Times New Roman" w:eastAsia="宋体" w:cs="Times New Roman"/>
                      <w:b w:val="0"/>
                      <w:bCs w:val="0"/>
                      <w:color w:val="auto"/>
                      <w:kern w:val="2"/>
                      <w:sz w:val="21"/>
                      <w:szCs w:val="21"/>
                      <w:lang w:val="en-US" w:eastAsia="zh-CN" w:bidi="ar-SA"/>
                    </w:rPr>
                    <w:t>t粉煤灰筒仓及</w:t>
                  </w:r>
                  <w:r>
                    <w:rPr>
                      <w:rFonts w:hint="eastAsia" w:cs="Times New Roman"/>
                      <w:b w:val="0"/>
                      <w:bCs w:val="0"/>
                      <w:color w:val="auto"/>
                      <w:kern w:val="2"/>
                      <w:sz w:val="21"/>
                      <w:szCs w:val="21"/>
                      <w:lang w:val="en-US" w:eastAsia="zh-CN" w:bidi="ar-SA"/>
                    </w:rPr>
                    <w:t>3</w:t>
                  </w:r>
                  <w:r>
                    <w:rPr>
                      <w:rFonts w:hint="default" w:ascii="Times New Roman" w:hAnsi="Times New Roman" w:eastAsia="宋体" w:cs="Times New Roman"/>
                      <w:b w:val="0"/>
                      <w:bCs w:val="0"/>
                      <w:color w:val="auto"/>
                      <w:kern w:val="2"/>
                      <w:sz w:val="21"/>
                      <w:szCs w:val="21"/>
                      <w:lang w:val="en-US" w:eastAsia="zh-CN" w:bidi="ar-SA"/>
                    </w:rPr>
                    <w:t>个</w:t>
                  </w:r>
                  <w:r>
                    <w:rPr>
                      <w:rFonts w:hint="eastAsia" w:cs="Times New Roman"/>
                      <w:b w:val="0"/>
                      <w:bCs w:val="0"/>
                      <w:color w:val="auto"/>
                      <w:kern w:val="2"/>
                      <w:sz w:val="21"/>
                      <w:szCs w:val="21"/>
                      <w:lang w:val="en-US" w:eastAsia="zh-CN" w:bidi="ar-SA"/>
                    </w:rPr>
                    <w:t>150</w:t>
                  </w:r>
                  <w:r>
                    <w:rPr>
                      <w:rFonts w:hint="default" w:ascii="Times New Roman" w:hAnsi="Times New Roman" w:eastAsia="宋体" w:cs="Times New Roman"/>
                      <w:b w:val="0"/>
                      <w:bCs w:val="0"/>
                      <w:color w:val="auto"/>
                      <w:kern w:val="2"/>
                      <w:sz w:val="21"/>
                      <w:szCs w:val="21"/>
                      <w:lang w:val="en-US" w:eastAsia="zh-CN" w:bidi="ar-SA"/>
                    </w:rPr>
                    <w:t>t水泥筒仓</w:t>
                  </w:r>
                  <w:r>
                    <w:rPr>
                      <w:rFonts w:hint="eastAsia" w:cs="Times New Roman"/>
                      <w:b w:val="0"/>
                      <w:bCs w:val="0"/>
                      <w:color w:val="auto"/>
                      <w:kern w:val="2"/>
                      <w:sz w:val="21"/>
                      <w:szCs w:val="21"/>
                      <w:lang w:val="en-US" w:eastAsia="zh-CN" w:bidi="ar-SA"/>
                    </w:rPr>
                    <w:t>）</w:t>
                  </w:r>
                  <w:r>
                    <w:rPr>
                      <w:rFonts w:hint="default" w:ascii="Times New Roman" w:hAnsi="Times New Roman" w:eastAsia="宋体" w:cs="Times New Roman"/>
                      <w:b w:val="0"/>
                      <w:bCs w:val="0"/>
                      <w:color w:val="auto"/>
                      <w:kern w:val="2"/>
                      <w:sz w:val="21"/>
                      <w:szCs w:val="21"/>
                      <w:lang w:val="en-US" w:eastAsia="zh-CN" w:bidi="ar-SA"/>
                    </w:rPr>
                    <w:t>、</w:t>
                  </w:r>
                  <w:r>
                    <w:rPr>
                      <w:rFonts w:hint="eastAsia" w:cs="Times New Roman"/>
                      <w:b w:val="0"/>
                      <w:bCs w:val="0"/>
                      <w:color w:val="auto"/>
                      <w:kern w:val="2"/>
                      <w:sz w:val="21"/>
                      <w:szCs w:val="21"/>
                      <w:lang w:val="en-US" w:eastAsia="zh-CN" w:bidi="ar-SA"/>
                    </w:rPr>
                    <w:t>4个</w:t>
                  </w:r>
                  <w:r>
                    <w:rPr>
                      <w:rFonts w:hint="default" w:ascii="Times New Roman" w:hAnsi="Times New Roman" w:eastAsia="宋体" w:cs="Times New Roman"/>
                      <w:b w:val="0"/>
                      <w:bCs w:val="0"/>
                      <w:color w:val="auto"/>
                      <w:kern w:val="2"/>
                      <w:sz w:val="21"/>
                      <w:szCs w:val="21"/>
                      <w:lang w:val="en-US" w:eastAsia="zh-CN" w:bidi="ar-SA"/>
                    </w:rPr>
                    <w:t>螺旋输送机及</w:t>
                  </w:r>
                  <w:r>
                    <w:rPr>
                      <w:rFonts w:hint="eastAsia" w:cs="Times New Roman"/>
                      <w:b w:val="0"/>
                      <w:bCs w:val="0"/>
                      <w:color w:val="auto"/>
                      <w:kern w:val="2"/>
                      <w:sz w:val="21"/>
                      <w:szCs w:val="21"/>
                      <w:lang w:val="en-US" w:eastAsia="zh-CN" w:bidi="ar-SA"/>
                    </w:rPr>
                    <w:t>4个</w:t>
                  </w:r>
                  <w:r>
                    <w:rPr>
                      <w:rFonts w:hint="default" w:ascii="Times New Roman" w:hAnsi="Times New Roman" w:eastAsia="宋体" w:cs="Times New Roman"/>
                      <w:b w:val="0"/>
                      <w:bCs w:val="0"/>
                      <w:color w:val="auto"/>
                      <w:kern w:val="2"/>
                      <w:sz w:val="21"/>
                      <w:szCs w:val="21"/>
                      <w:lang w:val="en-US" w:eastAsia="zh-CN" w:bidi="ar-SA"/>
                    </w:rPr>
                    <w:t>粉料计量装置组成。仓顶配套</w:t>
                  </w:r>
                  <w:r>
                    <w:rPr>
                      <w:rFonts w:hint="eastAsia" w:cs="Times New Roman"/>
                      <w:b w:val="0"/>
                      <w:bCs w:val="0"/>
                      <w:color w:val="auto"/>
                      <w:kern w:val="2"/>
                      <w:sz w:val="21"/>
                      <w:szCs w:val="21"/>
                      <w:lang w:val="en-US" w:eastAsia="zh-CN" w:bidi="ar-SA"/>
                    </w:rPr>
                    <w:t>脉冲式布袋除尘机</w:t>
                  </w:r>
                  <w:r>
                    <w:rPr>
                      <w:rFonts w:hint="default" w:ascii="Times New Roman" w:hAnsi="Times New Roman" w:eastAsia="宋体" w:cs="Times New Roman"/>
                      <w:b w:val="0"/>
                      <w:bCs w:val="0"/>
                      <w:color w:val="auto"/>
                      <w:kern w:val="2"/>
                      <w:sz w:val="21"/>
                      <w:szCs w:val="21"/>
                      <w:lang w:val="en-US" w:eastAsia="zh-CN" w:bidi="ar-SA"/>
                    </w:rPr>
                    <w:t>，筒仓内粉料由螺旋输送机送至粉料称量装置称量，达到称量要求时停止供料。</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液体供给计量系统</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水、外加剂分别由泵送至各自计量斗中配比称量。</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78"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搅拌站</w:t>
                  </w:r>
                </w:p>
              </w:tc>
              <w:tc>
                <w:tcPr>
                  <w:tcW w:w="546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设置</w:t>
                  </w:r>
                  <w:r>
                    <w:rPr>
                      <w:rFonts w:hint="eastAsia" w:cs="Times New Roman"/>
                      <w:b w:val="0"/>
                      <w:bCs w:val="0"/>
                      <w:color w:val="auto"/>
                      <w:kern w:val="2"/>
                      <w:sz w:val="21"/>
                      <w:szCs w:val="21"/>
                      <w:lang w:val="en-US" w:eastAsia="zh-CN" w:bidi="ar-SA"/>
                    </w:rPr>
                    <w:t>JS3000</w:t>
                  </w:r>
                  <w:r>
                    <w:rPr>
                      <w:rFonts w:hint="default" w:ascii="Times New Roman" w:hAnsi="Times New Roman" w:eastAsia="宋体" w:cs="Times New Roman"/>
                      <w:b w:val="0"/>
                      <w:bCs w:val="0"/>
                      <w:color w:val="auto"/>
                      <w:kern w:val="2"/>
                      <w:sz w:val="21"/>
                      <w:szCs w:val="21"/>
                      <w:lang w:val="en-US" w:eastAsia="zh-CN" w:bidi="ar-SA"/>
                    </w:rPr>
                    <w:t>型搅拌机，</w:t>
                  </w:r>
                  <w:r>
                    <w:rPr>
                      <w:rFonts w:hint="eastAsia" w:cs="Times New Roman"/>
                      <w:b w:val="0"/>
                      <w:bCs w:val="0"/>
                      <w:color w:val="auto"/>
                      <w:kern w:val="2"/>
                      <w:sz w:val="21"/>
                      <w:szCs w:val="21"/>
                      <w:lang w:val="en-US" w:eastAsia="zh-CN" w:bidi="ar-SA"/>
                    </w:rPr>
                    <w:t>在运营周期内生产10万m</w:t>
                  </w:r>
                  <w:r>
                    <w:rPr>
                      <w:rFonts w:hint="eastAsia" w:cs="Times New Roman"/>
                      <w:b w:val="0"/>
                      <w:bCs w:val="0"/>
                      <w:color w:val="auto"/>
                      <w:kern w:val="2"/>
                      <w:sz w:val="21"/>
                      <w:szCs w:val="21"/>
                      <w:vertAlign w:val="superscript"/>
                      <w:lang w:val="en-US" w:eastAsia="zh-CN" w:bidi="ar-SA"/>
                    </w:rPr>
                    <w:t>3</w:t>
                  </w:r>
                  <w:r>
                    <w:rPr>
                      <w:rFonts w:hint="eastAsia" w:cs="Times New Roman"/>
                      <w:b w:val="0"/>
                      <w:bCs w:val="0"/>
                      <w:color w:val="auto"/>
                      <w:kern w:val="2"/>
                      <w:sz w:val="21"/>
                      <w:szCs w:val="21"/>
                      <w:lang w:val="en-US" w:eastAsia="zh-CN" w:bidi="ar-SA"/>
                    </w:rPr>
                    <w:t>混凝土。</w:t>
                  </w:r>
                  <w:r>
                    <w:rPr>
                      <w:rFonts w:hint="default" w:ascii="Times New Roman" w:hAnsi="Times New Roman" w:eastAsia="宋体" w:cs="Times New Roman"/>
                      <w:b w:val="0"/>
                      <w:bCs w:val="0"/>
                      <w:color w:val="auto"/>
                      <w:kern w:val="2"/>
                      <w:sz w:val="21"/>
                      <w:szCs w:val="21"/>
                      <w:lang w:val="en-US" w:eastAsia="zh-CN" w:bidi="ar-SA"/>
                    </w:rPr>
                    <w:t>完成计量配比的原料（水洗砂、石料、水泥、粉煤灰、外加剂水溶液）依次加入搅拌机内搅拌，在规定时间内生产出合格的混凝土。</w:t>
                  </w:r>
                </w:p>
              </w:tc>
              <w:tc>
                <w:tcPr>
                  <w:tcW w:w="716"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28"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储运工程</w:t>
                  </w: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原料仓</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5-10</w:t>
                  </w:r>
                  <w:r>
                    <w:rPr>
                      <w:rFonts w:hint="default" w:ascii="Times New Roman" w:hAnsi="Times New Roman" w:eastAsia="宋体" w:cs="Times New Roman"/>
                      <w:b w:val="0"/>
                      <w:bCs w:val="0"/>
                      <w:color w:val="auto"/>
                      <w:kern w:val="2"/>
                      <w:sz w:val="21"/>
                      <w:szCs w:val="21"/>
                      <w:vertAlign w:val="baseline"/>
                      <w:lang w:val="en-US" w:eastAsia="zh-CN" w:bidi="ar-SA"/>
                    </w:rPr>
                    <w:t>mm、5-20mm和</w:t>
                  </w:r>
                  <w:r>
                    <w:rPr>
                      <w:rFonts w:hint="eastAsia" w:cs="Times New Roman"/>
                      <w:b w:val="0"/>
                      <w:bCs w:val="0"/>
                      <w:color w:val="auto"/>
                      <w:kern w:val="2"/>
                      <w:sz w:val="21"/>
                      <w:szCs w:val="21"/>
                      <w:vertAlign w:val="baseline"/>
                      <w:lang w:val="en-US" w:eastAsia="zh-CN" w:bidi="ar-SA"/>
                    </w:rPr>
                    <w:t>16-31.5</w:t>
                  </w:r>
                  <w:r>
                    <w:rPr>
                      <w:rFonts w:hint="default" w:ascii="Times New Roman" w:hAnsi="Times New Roman" w:eastAsia="宋体" w:cs="Times New Roman"/>
                      <w:b w:val="0"/>
                      <w:bCs w:val="0"/>
                      <w:color w:val="auto"/>
                      <w:kern w:val="2"/>
                      <w:sz w:val="21"/>
                      <w:szCs w:val="21"/>
                      <w:vertAlign w:val="baseline"/>
                      <w:lang w:val="en-US" w:eastAsia="zh-CN" w:bidi="ar-SA"/>
                    </w:rPr>
                    <w:t>mm石料和水洗砂</w:t>
                  </w:r>
                  <w:r>
                    <w:rPr>
                      <w:rFonts w:hint="eastAsia" w:cs="Times New Roman"/>
                      <w:b w:val="0"/>
                      <w:bCs w:val="0"/>
                      <w:color w:val="auto"/>
                      <w:kern w:val="2"/>
                      <w:sz w:val="21"/>
                      <w:szCs w:val="21"/>
                      <w:vertAlign w:val="baseline"/>
                      <w:lang w:val="en-US" w:eastAsia="zh-CN" w:bidi="ar-SA"/>
                    </w:rPr>
                    <w:t>在原料仓内</w:t>
                  </w:r>
                  <w:r>
                    <w:rPr>
                      <w:rFonts w:hint="default" w:ascii="Times New Roman" w:hAnsi="Times New Roman" w:eastAsia="宋体" w:cs="Times New Roman"/>
                      <w:b w:val="0"/>
                      <w:bCs w:val="0"/>
                      <w:color w:val="auto"/>
                      <w:kern w:val="2"/>
                      <w:sz w:val="21"/>
                      <w:szCs w:val="21"/>
                      <w:vertAlign w:val="baseline"/>
                      <w:lang w:val="en-US" w:eastAsia="zh-CN" w:bidi="ar-SA"/>
                    </w:rPr>
                    <w:t>分区堆放，采用苫布覆盖，占地面积约为</w:t>
                  </w:r>
                  <w:r>
                    <w:rPr>
                      <w:rFonts w:hint="eastAsia" w:cs="Times New Roman"/>
                      <w:b w:val="0"/>
                      <w:bCs w:val="0"/>
                      <w:color w:val="auto"/>
                      <w:kern w:val="2"/>
                      <w:sz w:val="21"/>
                      <w:szCs w:val="21"/>
                      <w:vertAlign w:val="baseline"/>
                      <w:lang w:val="en-US" w:eastAsia="zh-CN" w:bidi="ar-SA"/>
                    </w:rPr>
                    <w:t>4000</w:t>
                  </w:r>
                  <w:r>
                    <w:rPr>
                      <w:rFonts w:hint="default" w:ascii="Times New Roman" w:hAnsi="Times New Roman" w:eastAsia="宋体" w:cs="Times New Roman"/>
                      <w:b w:val="0"/>
                      <w:bCs w:val="0"/>
                      <w:color w:val="auto"/>
                      <w:kern w:val="2"/>
                      <w:sz w:val="21"/>
                      <w:szCs w:val="21"/>
                      <w:vertAlign w:val="baseline"/>
                      <w:lang w:val="en-US" w:eastAsia="zh-CN" w:bidi="ar-SA"/>
                    </w:rPr>
                    <w:t>m</w:t>
                  </w:r>
                  <w:r>
                    <w:rPr>
                      <w:rFonts w:hint="default" w:ascii="Times New Roman" w:hAnsi="Times New Roman" w:eastAsia="宋体" w:cs="Times New Roman"/>
                      <w:b w:val="0"/>
                      <w:bCs w:val="0"/>
                      <w:color w:val="auto"/>
                      <w:kern w:val="2"/>
                      <w:sz w:val="21"/>
                      <w:szCs w:val="21"/>
                      <w:vertAlign w:val="superscript"/>
                      <w:lang w:val="en-US" w:eastAsia="zh-CN" w:bidi="ar-SA"/>
                    </w:rPr>
                    <w:t>2</w:t>
                  </w:r>
                  <w:r>
                    <w:rPr>
                      <w:rFonts w:hint="default" w:ascii="Times New Roman" w:hAnsi="Times New Roman" w:eastAsia="宋体" w:cs="Times New Roman"/>
                      <w:b w:val="0"/>
                      <w:bCs w:val="0"/>
                      <w:color w:val="auto"/>
                      <w:kern w:val="2"/>
                      <w:sz w:val="21"/>
                      <w:szCs w:val="21"/>
                      <w:lang w:val="en-US" w:eastAsia="zh-CN" w:bidi="ar-SA"/>
                    </w:rPr>
                    <w:t>。</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28"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地磅</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依托厂区现有150t地磅。</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6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417"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运输</w:t>
                  </w: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厂外</w:t>
                  </w:r>
                </w:p>
              </w:tc>
              <w:tc>
                <w:tcPr>
                  <w:tcW w:w="54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原料采用供需联运或委托社会运输车辆承运方式解决，主要依靠公路来完成；混凝土采用罐车运输出厂。</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6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p>
              </w:tc>
              <w:tc>
                <w:tcPr>
                  <w:tcW w:w="417"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sz w:val="21"/>
                      <w:szCs w:val="21"/>
                    </w:rPr>
                  </w:pPr>
                </w:p>
              </w:tc>
              <w:tc>
                <w:tcPr>
                  <w:tcW w:w="740"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厂内</w:t>
                  </w:r>
                </w:p>
              </w:tc>
              <w:tc>
                <w:tcPr>
                  <w:tcW w:w="5461"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420" w:firstLineChars="200"/>
                    <w:jc w:val="left"/>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lang w:val="en-US" w:eastAsia="zh-CN" w:bidi="ar"/>
                    </w:rPr>
                    <w:t>项目厂内运输主要为</w:t>
                  </w:r>
                  <w:r>
                    <w:rPr>
                      <w:rFonts w:hint="eastAsia" w:cs="Times New Roman"/>
                      <w:b w:val="0"/>
                      <w:bCs w:val="0"/>
                      <w:color w:val="auto"/>
                      <w:kern w:val="0"/>
                      <w:sz w:val="21"/>
                      <w:szCs w:val="21"/>
                      <w:lang w:val="en-US" w:eastAsia="zh-CN" w:bidi="ar"/>
                    </w:rPr>
                    <w:t>原料仓</w:t>
                  </w:r>
                  <w:r>
                    <w:rPr>
                      <w:rFonts w:hint="default" w:ascii="Times New Roman" w:hAnsi="Times New Roman" w:eastAsia="宋体" w:cs="Times New Roman"/>
                      <w:b w:val="0"/>
                      <w:bCs w:val="0"/>
                      <w:color w:val="auto"/>
                      <w:kern w:val="0"/>
                      <w:sz w:val="21"/>
                      <w:szCs w:val="21"/>
                      <w:lang w:val="en-US" w:eastAsia="zh-CN" w:bidi="ar"/>
                    </w:rPr>
                    <w:t>至生产设备，设置铲车以满足厂内生产运输需要。</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36"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公辅工程</w:t>
                  </w: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电控系统</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搅拌站设置电控系统，搅拌站各功能单元在控制系统指挥和管理下完成全部操作，实现自动化管理。</w:t>
                  </w:r>
                </w:p>
              </w:tc>
              <w:tc>
                <w:tcPr>
                  <w:tcW w:w="716"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37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检测室</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设置一层活动板房位于搅拌站</w:t>
                  </w:r>
                  <w:r>
                    <w:rPr>
                      <w:rFonts w:hint="eastAsia" w:cs="Times New Roman"/>
                      <w:b w:val="0"/>
                      <w:bCs w:val="0"/>
                      <w:color w:val="auto"/>
                      <w:kern w:val="2"/>
                      <w:sz w:val="21"/>
                      <w:szCs w:val="21"/>
                      <w:vertAlign w:val="baseline"/>
                      <w:lang w:val="en-US" w:eastAsia="zh-CN" w:bidi="ar-SA"/>
                    </w:rPr>
                    <w:t>北</w:t>
                  </w:r>
                  <w:r>
                    <w:rPr>
                      <w:rFonts w:hint="default" w:ascii="Times New Roman" w:hAnsi="Times New Roman" w:eastAsia="宋体" w:cs="Times New Roman"/>
                      <w:b w:val="0"/>
                      <w:bCs w:val="0"/>
                      <w:color w:val="auto"/>
                      <w:kern w:val="2"/>
                      <w:sz w:val="21"/>
                      <w:szCs w:val="21"/>
                      <w:vertAlign w:val="baseline"/>
                      <w:lang w:val="en-US" w:eastAsia="zh-CN" w:bidi="ar-SA"/>
                    </w:rPr>
                    <w:t>侧。对水泥、水洗砂、外加剂等原料和成品混凝土取样检测。</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9"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门房及值班室</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建筑面积及结构：一层可移动活动板房，</w:t>
                  </w:r>
                  <w:r>
                    <w:rPr>
                      <w:rFonts w:hint="eastAsia" w:cs="Times New Roman"/>
                      <w:b w:val="0"/>
                      <w:bCs w:val="0"/>
                      <w:color w:val="auto"/>
                      <w:kern w:val="2"/>
                      <w:sz w:val="21"/>
                      <w:szCs w:val="21"/>
                      <w:vertAlign w:val="baseline"/>
                      <w:lang w:val="en-US" w:eastAsia="zh-CN" w:bidi="ar-SA"/>
                    </w:rPr>
                    <w:t>60</w:t>
                  </w:r>
                  <w:r>
                    <w:rPr>
                      <w:rFonts w:hint="default" w:ascii="Times New Roman" w:hAnsi="Times New Roman" w:eastAsia="宋体" w:cs="Times New Roman"/>
                      <w:b w:val="0"/>
                      <w:bCs w:val="0"/>
                      <w:color w:val="auto"/>
                      <w:kern w:val="2"/>
                      <w:sz w:val="21"/>
                      <w:szCs w:val="21"/>
                      <w:vertAlign w:val="baseline"/>
                      <w:lang w:val="en-US" w:eastAsia="zh-CN" w:bidi="ar-SA"/>
                    </w:rPr>
                    <w:t>m</w:t>
                  </w:r>
                  <w:r>
                    <w:rPr>
                      <w:rFonts w:hint="default" w:ascii="Times New Roman" w:hAnsi="Times New Roman" w:eastAsia="宋体" w:cs="Times New Roman"/>
                      <w:b w:val="0"/>
                      <w:bCs w:val="0"/>
                      <w:color w:val="auto"/>
                      <w:kern w:val="2"/>
                      <w:sz w:val="21"/>
                      <w:szCs w:val="21"/>
                      <w:vertAlign w:val="superscript"/>
                      <w:lang w:val="en-US" w:eastAsia="zh-CN" w:bidi="ar-SA"/>
                    </w:rPr>
                    <w:t>2</w:t>
                  </w:r>
                  <w:r>
                    <w:rPr>
                      <w:rFonts w:hint="default" w:ascii="Times New Roman" w:hAnsi="Times New Roman" w:eastAsia="宋体" w:cs="Times New Roman"/>
                      <w:b w:val="0"/>
                      <w:bCs w:val="0"/>
                      <w:color w:val="auto"/>
                      <w:kern w:val="2"/>
                      <w:sz w:val="21"/>
                      <w:szCs w:val="21"/>
                      <w:vertAlign w:val="baseline"/>
                      <w:lang w:val="en-US" w:eastAsia="zh-CN" w:bidi="ar-SA"/>
                    </w:rPr>
                    <w:t>。</w:t>
                  </w:r>
                </w:p>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建筑功能：包括值班室、资料室和门房。</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供水</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生活用水采用外购桶装纯净水</w:t>
                  </w:r>
                  <w:r>
                    <w:rPr>
                      <w:rFonts w:hint="eastAsia" w:cs="Times New Roman"/>
                      <w:b w:val="0"/>
                      <w:bCs w:val="0"/>
                      <w:color w:val="auto"/>
                      <w:kern w:val="2"/>
                      <w:sz w:val="21"/>
                      <w:szCs w:val="21"/>
                      <w:vertAlign w:val="baseline"/>
                      <w:lang w:val="en-US" w:eastAsia="zh-CN" w:bidi="ar-SA"/>
                    </w:rPr>
                    <w:t>；</w:t>
                  </w:r>
                  <w:r>
                    <w:rPr>
                      <w:rFonts w:hint="default" w:ascii="Times New Roman" w:hAnsi="Times New Roman" w:eastAsia="宋体" w:cs="Times New Roman"/>
                      <w:b w:val="0"/>
                      <w:bCs w:val="0"/>
                      <w:color w:val="auto"/>
                      <w:kern w:val="2"/>
                      <w:sz w:val="21"/>
                      <w:szCs w:val="21"/>
                      <w:vertAlign w:val="baseline"/>
                      <w:lang w:val="en-US" w:eastAsia="zh-CN" w:bidi="ar-SA"/>
                    </w:rPr>
                    <w:t>生产用水</w:t>
                  </w:r>
                  <w:r>
                    <w:rPr>
                      <w:rFonts w:hint="eastAsia" w:cs="Times New Roman"/>
                      <w:b w:val="0"/>
                      <w:bCs w:val="0"/>
                      <w:color w:val="auto"/>
                      <w:kern w:val="2"/>
                      <w:sz w:val="21"/>
                      <w:szCs w:val="21"/>
                      <w:vertAlign w:val="baseline"/>
                      <w:lang w:val="en-US" w:eastAsia="zh-CN" w:bidi="ar-SA"/>
                    </w:rPr>
                    <w:t>由罐车拉运，依托厂区现有蓄水设施。</w:t>
                  </w:r>
                  <w:r>
                    <w:rPr>
                      <w:rFonts w:hint="eastAsia" w:cs="Times New Roman"/>
                      <w:b w:val="0"/>
                      <w:bCs w:val="0"/>
                      <w:color w:val="auto"/>
                      <w:kern w:val="2"/>
                      <w:sz w:val="21"/>
                      <w:szCs w:val="21"/>
                      <w:highlight w:val="none"/>
                      <w:vertAlign w:val="baseline"/>
                      <w:lang w:val="en-US" w:eastAsia="zh-CN" w:bidi="ar-SA"/>
                    </w:rPr>
                    <w:t>运营周期内新鲜水用水总量为20394m</w:t>
                  </w:r>
                  <w:r>
                    <w:rPr>
                      <w:rFonts w:hint="eastAsia" w:cs="Times New Roman"/>
                      <w:b w:val="0"/>
                      <w:bCs w:val="0"/>
                      <w:color w:val="auto"/>
                      <w:kern w:val="2"/>
                      <w:sz w:val="21"/>
                      <w:szCs w:val="21"/>
                      <w:highlight w:val="none"/>
                      <w:vertAlign w:val="superscript"/>
                      <w:lang w:val="en-US" w:eastAsia="zh-CN" w:bidi="ar-SA"/>
                    </w:rPr>
                    <w:t>3</w:t>
                  </w:r>
                  <w:r>
                    <w:rPr>
                      <w:rFonts w:hint="eastAsia" w:cs="Times New Roman"/>
                      <w:b w:val="0"/>
                      <w:bCs w:val="0"/>
                      <w:color w:val="auto"/>
                      <w:kern w:val="2"/>
                      <w:sz w:val="21"/>
                      <w:szCs w:val="21"/>
                      <w:highlight w:val="none"/>
                      <w:vertAlign w:val="baseline"/>
                      <w:lang w:val="en-US" w:eastAsia="zh-CN" w:bidi="ar-SA"/>
                    </w:rPr>
                    <w:t>。</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77"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供电</w:t>
                  </w:r>
                </w:p>
              </w:tc>
              <w:tc>
                <w:tcPr>
                  <w:tcW w:w="5461" w:type="dxa"/>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rPr>
                    <w:t>生产用电由</w:t>
                  </w:r>
                  <w:r>
                    <w:rPr>
                      <w:rFonts w:hint="eastAsia" w:cs="Times New Roman"/>
                      <w:b w:val="0"/>
                      <w:bCs w:val="0"/>
                      <w:color w:val="auto"/>
                      <w:sz w:val="21"/>
                      <w:szCs w:val="21"/>
                      <w:lang w:eastAsia="zh-CN"/>
                    </w:rPr>
                    <w:t>永康镇</w:t>
                  </w:r>
                  <w:r>
                    <w:rPr>
                      <w:rFonts w:hint="default" w:ascii="Times New Roman" w:hAnsi="Times New Roman" w:eastAsia="宋体" w:cs="Times New Roman"/>
                      <w:b w:val="0"/>
                      <w:bCs w:val="0"/>
                      <w:color w:val="auto"/>
                      <w:sz w:val="21"/>
                      <w:szCs w:val="21"/>
                    </w:rPr>
                    <w:t>电网提供</w:t>
                  </w:r>
                  <w:r>
                    <w:rPr>
                      <w:rFonts w:hint="eastAsia" w:cs="Times New Roman"/>
                      <w:b w:val="0"/>
                      <w:bCs w:val="0"/>
                      <w:color w:val="auto"/>
                      <w:sz w:val="21"/>
                      <w:szCs w:val="21"/>
                      <w:lang w:eastAsia="zh-CN"/>
                    </w:rPr>
                    <w:t>；</w:t>
                  </w:r>
                </w:p>
              </w:tc>
              <w:tc>
                <w:tcPr>
                  <w:tcW w:w="7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400" w:type="dxa"/>
                  <w:vMerge w:val="restart"/>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环保工程</w:t>
                  </w:r>
                </w:p>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废气治理措施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①配料机顶部设置防静电挡尘帘，减少石料和水洗砂上料至配料机的粉尘外溢；</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②搅拌机配套布袋除尘机，收集处理骨料中间仓石料和水洗砂储存产生的粉尘及混凝土搅拌过程中产生的颗粒物；</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③水泥、粉煤灰筒仓顶部配套</w:t>
                  </w:r>
                  <w:r>
                    <w:rPr>
                      <w:rFonts w:hint="eastAsia" w:cs="Times New Roman"/>
                      <w:b w:val="0"/>
                      <w:bCs w:val="0"/>
                      <w:color w:val="auto"/>
                      <w:kern w:val="2"/>
                      <w:sz w:val="21"/>
                      <w:szCs w:val="21"/>
                      <w:lang w:val="en-US" w:eastAsia="zh-CN" w:bidi="ar-SA"/>
                    </w:rPr>
                    <w:t>脉冲袋式除尘机</w:t>
                  </w:r>
                  <w:r>
                    <w:rPr>
                      <w:rFonts w:hint="default" w:ascii="Times New Roman" w:hAnsi="Times New Roman" w:eastAsia="宋体" w:cs="Times New Roman"/>
                      <w:b w:val="0"/>
                      <w:bCs w:val="0"/>
                      <w:color w:val="auto"/>
                      <w:kern w:val="2"/>
                      <w:sz w:val="21"/>
                      <w:szCs w:val="21"/>
                      <w:lang w:val="en-US" w:eastAsia="zh-CN" w:bidi="ar-SA"/>
                    </w:rPr>
                    <w:t>收集处理筒仓内粉尘，废气经仓顶呼吸口排除；</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④</w:t>
                  </w:r>
                  <w:r>
                    <w:rPr>
                      <w:rFonts w:hint="eastAsia"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物料采取防尘网全覆盖措施，施工作业避开大风天气，厂区道路定期洒水抑尘；</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kern w:val="2"/>
                      <w:sz w:val="21"/>
                      <w:szCs w:val="21"/>
                      <w:lang w:val="en-US" w:eastAsia="zh-CN" w:bidi="ar-SA"/>
                    </w:rPr>
                    <w:t>⑤门口设置车辆冲洗平台，运输物料的车辆缓慢行驶且不得超载，物料采用苫布覆盖。</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废水治理措施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0"/>
                      <w:sz w:val="21"/>
                      <w:szCs w:val="21"/>
                      <w:highlight w:val="none"/>
                      <w:lang w:val="en-US" w:eastAsia="zh-CN" w:bidi="ar-SA"/>
                    </w:rPr>
                    <w:t>生活污水经厂区旱厕堆肥后由建设单位清掏外运还田；车辆冲洗废水</w:t>
                  </w:r>
                  <w:r>
                    <w:rPr>
                      <w:rFonts w:hint="eastAsia" w:cs="Times New Roman"/>
                      <w:b w:val="0"/>
                      <w:bCs w:val="0"/>
                      <w:color w:val="auto"/>
                      <w:kern w:val="0"/>
                      <w:sz w:val="21"/>
                      <w:szCs w:val="21"/>
                      <w:highlight w:val="none"/>
                      <w:lang w:val="en-US" w:eastAsia="zh-CN" w:bidi="ar-SA"/>
                    </w:rPr>
                    <w:t>及搅拌机清洗废水</w:t>
                  </w:r>
                  <w:r>
                    <w:rPr>
                      <w:rFonts w:hint="default" w:ascii="Times New Roman" w:hAnsi="Times New Roman" w:eastAsia="宋体" w:cs="Times New Roman"/>
                      <w:b w:val="0"/>
                      <w:bCs w:val="0"/>
                      <w:color w:val="auto"/>
                      <w:kern w:val="0"/>
                      <w:sz w:val="21"/>
                      <w:szCs w:val="21"/>
                      <w:highlight w:val="none"/>
                      <w:lang w:val="en-US" w:eastAsia="zh-CN" w:bidi="ar-SA"/>
                    </w:rPr>
                    <w:t>设置</w:t>
                  </w:r>
                  <w:r>
                    <w:rPr>
                      <w:rFonts w:hint="eastAsia" w:cs="Times New Roman"/>
                      <w:b w:val="0"/>
                      <w:bCs w:val="0"/>
                      <w:color w:val="auto"/>
                      <w:kern w:val="0"/>
                      <w:sz w:val="21"/>
                      <w:szCs w:val="21"/>
                      <w:highlight w:val="none"/>
                      <w:lang w:val="en-US" w:eastAsia="zh-CN" w:bidi="ar-SA"/>
                    </w:rPr>
                    <w:t>10m</w:t>
                  </w:r>
                  <w:r>
                    <w:rPr>
                      <w:rFonts w:hint="eastAsia" w:cs="Times New Roman"/>
                      <w:b w:val="0"/>
                      <w:bCs w:val="0"/>
                      <w:color w:val="auto"/>
                      <w:kern w:val="0"/>
                      <w:sz w:val="21"/>
                      <w:szCs w:val="21"/>
                      <w:highlight w:val="none"/>
                      <w:vertAlign w:val="superscript"/>
                      <w:lang w:val="en-US" w:eastAsia="zh-CN" w:bidi="ar-SA"/>
                    </w:rPr>
                    <w:t>3</w:t>
                  </w:r>
                  <w:r>
                    <w:rPr>
                      <w:rFonts w:hint="default" w:ascii="Times New Roman" w:hAnsi="Times New Roman" w:eastAsia="宋体" w:cs="Times New Roman"/>
                      <w:b w:val="0"/>
                      <w:bCs w:val="0"/>
                      <w:color w:val="auto"/>
                      <w:kern w:val="0"/>
                      <w:sz w:val="21"/>
                      <w:szCs w:val="21"/>
                      <w:highlight w:val="none"/>
                      <w:lang w:val="en-US" w:eastAsia="zh-CN" w:bidi="ar-SA"/>
                    </w:rPr>
                    <w:t>临时沉淀池，沉淀后回用于道路洒水降尘；</w:t>
                  </w:r>
                  <w:r>
                    <w:rPr>
                      <w:rFonts w:hint="default" w:ascii="Times New Roman" w:hAnsi="Times New Roman" w:eastAsia="宋体" w:cs="Times New Roman"/>
                      <w:b w:val="0"/>
                      <w:bCs w:val="0"/>
                      <w:color w:val="auto"/>
                      <w:sz w:val="21"/>
                      <w:szCs w:val="21"/>
                      <w:lang w:val="en-US" w:eastAsia="zh-CN"/>
                    </w:rPr>
                    <w:t>厂区道路降尘用水自然蒸发，无废水产生。</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噪声防治措施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选择低噪声设备，采取隔声、基础减振等措施</w:t>
                  </w:r>
                  <w:r>
                    <w:rPr>
                      <w:rFonts w:hint="default" w:ascii="Times New Roman" w:hAnsi="Times New Roman" w:eastAsia="宋体" w:cs="Times New Roman"/>
                      <w:b w:val="0"/>
                      <w:bCs w:val="0"/>
                      <w:color w:val="auto"/>
                      <w:kern w:val="2"/>
                      <w:sz w:val="21"/>
                      <w:szCs w:val="21"/>
                      <w:vertAlign w:val="baseline"/>
                      <w:lang w:val="en-US" w:eastAsia="zh-CN" w:bidi="ar-SA"/>
                    </w:rPr>
                    <w:t>。运输车辆路过居民区时禁止鸣笛、超速行驶。</w:t>
                  </w:r>
                </w:p>
              </w:tc>
              <w:tc>
                <w:tcPr>
                  <w:tcW w:w="721"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固体废物治理措施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①除尘装置收集的粉尘及搅拌系统的拌合残渣回用于生产；</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②筛选出的废石料在</w:t>
                  </w:r>
                  <w:r>
                    <w:rPr>
                      <w:rFonts w:hint="eastAsia" w:cs="Times New Roman"/>
                      <w:b w:val="0"/>
                      <w:bCs w:val="0"/>
                      <w:color w:val="auto"/>
                      <w:kern w:val="2"/>
                      <w:sz w:val="21"/>
                      <w:szCs w:val="21"/>
                      <w:vertAlign w:val="baseline"/>
                      <w:lang w:val="en-US" w:eastAsia="zh-CN" w:bidi="ar-SA"/>
                    </w:rPr>
                    <w:t>原料仓</w:t>
                  </w:r>
                  <w:r>
                    <w:rPr>
                      <w:rFonts w:hint="default" w:ascii="Times New Roman" w:hAnsi="Times New Roman" w:eastAsia="宋体" w:cs="Times New Roman"/>
                      <w:b w:val="0"/>
                      <w:bCs w:val="0"/>
                      <w:color w:val="auto"/>
                      <w:kern w:val="2"/>
                      <w:sz w:val="21"/>
                      <w:szCs w:val="21"/>
                      <w:vertAlign w:val="baseline"/>
                      <w:lang w:val="en-US" w:eastAsia="zh-CN" w:bidi="ar-SA"/>
                    </w:rPr>
                    <w:t>暂存，由生产厂家回收；</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③</w:t>
                  </w:r>
                  <w:r>
                    <w:rPr>
                      <w:rFonts w:hint="default" w:ascii="Times New Roman" w:hAnsi="Times New Roman" w:eastAsia="宋体" w:cs="Times New Roman"/>
                      <w:b w:val="0"/>
                      <w:bCs w:val="0"/>
                      <w:color w:val="auto"/>
                      <w:sz w:val="21"/>
                      <w:szCs w:val="21"/>
                      <w:lang w:val="en-US" w:eastAsia="zh-CN"/>
                    </w:rPr>
                    <w:t>设置</w:t>
                  </w:r>
                  <w:r>
                    <w:rPr>
                      <w:rFonts w:hint="eastAsia" w:cs="Times New Roman"/>
                      <w:b w:val="0"/>
                      <w:bCs w:val="0"/>
                      <w:color w:val="auto"/>
                      <w:sz w:val="21"/>
                      <w:szCs w:val="21"/>
                      <w:lang w:val="en-US" w:eastAsia="zh-CN"/>
                    </w:rPr>
                    <w:t>2个</w:t>
                  </w:r>
                  <w:r>
                    <w:rPr>
                      <w:rFonts w:hint="default" w:ascii="Times New Roman" w:hAnsi="Times New Roman" w:eastAsia="宋体" w:cs="Times New Roman"/>
                      <w:b w:val="0"/>
                      <w:bCs w:val="0"/>
                      <w:color w:val="auto"/>
                      <w:sz w:val="21"/>
                      <w:szCs w:val="21"/>
                      <w:lang w:val="en-US" w:eastAsia="zh-CN"/>
                    </w:rPr>
                    <w:t>垃圾桶收集生活垃圾，运至附近的垃圾转运点处理。</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地下水、土壤防治措施</w:t>
                  </w:r>
                </w:p>
              </w:tc>
              <w:tc>
                <w:tcPr>
                  <w:tcW w:w="5461" w:type="dxa"/>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①厂区地面采用碎石铺设，旱厕及沉淀池防渗处理；</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②厂区周边种植具有较强吸附能力的植物；</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③定期清扫厂区，做好设备维护工作。</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生态环境保护措施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①项目服务期满后，立即停止生产，生产设备及原材料合理处置；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lang w:val="en-US" w:eastAsia="zh-CN" w:bidi="ar-SA"/>
                    </w:rPr>
                    <w:t>②</w:t>
                  </w:r>
                  <w:r>
                    <w:rPr>
                      <w:rFonts w:hint="default" w:ascii="Times New Roman" w:hAnsi="Times New Roman" w:eastAsia="宋体" w:cs="Times New Roman"/>
                      <w:b w:val="0"/>
                      <w:bCs w:val="0"/>
                      <w:color w:val="auto"/>
                      <w:kern w:val="2"/>
                      <w:sz w:val="21"/>
                      <w:szCs w:val="21"/>
                      <w:lang w:val="en-US" w:eastAsia="zh-CN" w:bidi="ar-SA"/>
                    </w:rPr>
                    <w:t>采取场地平整、播撒草籽等相应的生态恢复与补偿措施，确保项目区域生态环境逐步得到恢复。</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0" w:type="dxa"/>
                  <w:vMerge w:val="continue"/>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57" w:type="dxa"/>
                  <w:gridSpan w:val="2"/>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环境风险防范措施</w:t>
                  </w:r>
                </w:p>
              </w:tc>
              <w:tc>
                <w:tcPr>
                  <w:tcW w:w="546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①定期检查并加强环保设施运行管理情况；</w:t>
                  </w:r>
                </w:p>
                <w:p>
                  <w:pPr>
                    <w:pStyle w:val="16"/>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②</w:t>
                  </w:r>
                  <w:r>
                    <w:rPr>
                      <w:rFonts w:hint="default" w:ascii="Times New Roman" w:hAnsi="Times New Roman" w:eastAsia="宋体" w:cs="Times New Roman"/>
                      <w:b w:val="0"/>
                      <w:bCs w:val="0"/>
                      <w:i w:val="0"/>
                      <w:iCs w:val="0"/>
                      <w:caps w:val="0"/>
                      <w:color w:val="auto"/>
                      <w:spacing w:val="0"/>
                      <w:sz w:val="21"/>
                      <w:szCs w:val="21"/>
                      <w:shd w:val="clear" w:fill="FFFFFF"/>
                    </w:rPr>
                    <w:t>粉尘爆炸危险场所设备和装置</w:t>
                  </w:r>
                  <w:r>
                    <w:rPr>
                      <w:rFonts w:hint="eastAsia" w:cs="Times New Roman"/>
                      <w:b w:val="0"/>
                      <w:bCs w:val="0"/>
                      <w:i w:val="0"/>
                      <w:iCs w:val="0"/>
                      <w:caps w:val="0"/>
                      <w:color w:val="auto"/>
                      <w:spacing w:val="0"/>
                      <w:sz w:val="21"/>
                      <w:szCs w:val="21"/>
                      <w:shd w:val="clear" w:fill="FFFFFF"/>
                      <w:lang w:val="en-US" w:eastAsia="zh-CN"/>
                    </w:rPr>
                    <w:t>禁止明火，并配备消防设施。</w:t>
                  </w:r>
                </w:p>
              </w:tc>
              <w:tc>
                <w:tcPr>
                  <w:tcW w:w="721" w:type="dxa"/>
                  <w:gridSpan w:val="2"/>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新建</w:t>
                  </w:r>
                </w:p>
              </w:tc>
            </w:tr>
          </w:tbl>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主要产品及产能</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本项目产品方案及生产规模见表2-2。</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表2-2  产品方案及生产规模一览表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125"/>
              <w:gridCol w:w="1081"/>
              <w:gridCol w:w="1353"/>
              <w:gridCol w:w="31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3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产品名称</w:t>
                  </w:r>
                </w:p>
              </w:tc>
              <w:tc>
                <w:tcPr>
                  <w:tcW w:w="1125"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总产量</w:t>
                  </w:r>
                </w:p>
              </w:tc>
              <w:tc>
                <w:tcPr>
                  <w:tcW w:w="108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运营周期</w:t>
                  </w:r>
                </w:p>
              </w:tc>
              <w:tc>
                <w:tcPr>
                  <w:tcW w:w="1353"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产能</w:t>
                  </w:r>
                </w:p>
              </w:tc>
              <w:tc>
                <w:tcPr>
                  <w:tcW w:w="315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用途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43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混凝土</w:t>
                  </w:r>
                </w:p>
              </w:tc>
              <w:tc>
                <w:tcPr>
                  <w:tcW w:w="1125"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10万m</w:t>
                  </w:r>
                  <w:r>
                    <w:rPr>
                      <w:rFonts w:hint="eastAsia" w:cs="Times New Roman"/>
                      <w:b w:val="0"/>
                      <w:bCs w:val="0"/>
                      <w:color w:val="auto"/>
                      <w:sz w:val="21"/>
                      <w:szCs w:val="21"/>
                      <w:vertAlign w:val="superscript"/>
                      <w:lang w:val="en-US" w:eastAsia="zh-CN"/>
                    </w:rPr>
                    <w:t>3</w:t>
                  </w:r>
                </w:p>
              </w:tc>
              <w:tc>
                <w:tcPr>
                  <w:tcW w:w="1081"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450天</w:t>
                  </w:r>
                </w:p>
              </w:tc>
              <w:tc>
                <w:tcPr>
                  <w:tcW w:w="1353"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sz w:val="21"/>
                      <w:szCs w:val="21"/>
                      <w:vertAlign w:val="baseline"/>
                      <w:lang w:val="en-US" w:eastAsia="zh-CN"/>
                    </w:rPr>
                    <w:t>222</w:t>
                  </w:r>
                  <w:r>
                    <w:rPr>
                      <w:rFonts w:hint="default" w:ascii="Times New Roman" w:hAnsi="Times New Roman" w:eastAsia="宋体" w:cs="Times New Roman"/>
                      <w:b w:val="0"/>
                      <w:bCs w:val="0"/>
                      <w:color w:val="auto"/>
                      <w:sz w:val="21"/>
                      <w:szCs w:val="21"/>
                      <w:vertAlign w:val="baseline"/>
                      <w:lang w:val="en-US" w:eastAsia="zh-CN"/>
                    </w:rPr>
                    <w:t>m</w:t>
                  </w:r>
                  <w:r>
                    <w:rPr>
                      <w:rFonts w:hint="default" w:ascii="Times New Roman" w:hAnsi="Times New Roman" w:eastAsia="宋体" w:cs="Times New Roman"/>
                      <w:b w:val="0"/>
                      <w:bCs w:val="0"/>
                      <w:color w:val="auto"/>
                      <w:sz w:val="21"/>
                      <w:szCs w:val="21"/>
                      <w:vertAlign w:val="superscript"/>
                      <w:lang w:val="en-US" w:eastAsia="zh-CN"/>
                    </w:rPr>
                    <w:t>3</w:t>
                  </w:r>
                  <w:r>
                    <w:rPr>
                      <w:rFonts w:hint="default" w:ascii="Times New Roman" w:hAnsi="Times New Roman" w:eastAsia="宋体" w:cs="Times New Roman"/>
                      <w:b w:val="0"/>
                      <w:bCs w:val="0"/>
                      <w:color w:val="auto"/>
                      <w:sz w:val="21"/>
                      <w:szCs w:val="21"/>
                      <w:vertAlign w:val="baseline"/>
                      <w:lang w:val="en-US" w:eastAsia="zh-CN"/>
                    </w:rPr>
                    <w:t>/d</w:t>
                  </w:r>
                </w:p>
              </w:tc>
              <w:tc>
                <w:tcPr>
                  <w:tcW w:w="315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用于</w:t>
                  </w:r>
                  <w:r>
                    <w:rPr>
                      <w:rFonts w:hint="eastAsia" w:cs="Times New Roman"/>
                      <w:b w:val="0"/>
                      <w:bCs w:val="0"/>
                      <w:color w:val="auto"/>
                      <w:sz w:val="21"/>
                      <w:szCs w:val="21"/>
                      <w:lang w:val="en-US" w:eastAsia="zh-CN"/>
                    </w:rPr>
                    <w:t>沙坡头灌区七星渠灌域续建配套与现代化改造工程1标段</w:t>
                  </w:r>
                </w:p>
              </w:tc>
            </w:tr>
          </w:tbl>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原辅材料消耗情况</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根据建设单位提供资料，混凝土制造主要原料均从市场购买，主要为不同规格碎石、水洗砂、水泥、粉煤灰和外加剂等。原辅材料在运营周期内用量情况见表2-3。</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240" w:lineRule="auto"/>
              <w:ind w:leftChars="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表2-3  原辅材料运营周期内用量情况一览表</w:t>
            </w:r>
          </w:p>
          <w:tbl>
            <w:tblPr>
              <w:tblStyle w:val="23"/>
              <w:tblW w:w="814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509"/>
              <w:gridCol w:w="2570"/>
              <w:gridCol w:w="20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序号</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运营周期内消耗总量（t）</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bCs/>
                      <w:color w:val="auto"/>
                      <w:kern w:val="0"/>
                      <w:sz w:val="21"/>
                      <w:szCs w:val="21"/>
                      <w:vertAlign w:val="baseline"/>
                      <w:lang w:val="en-US" w:eastAsia="zh-CN" w:bidi="ar-SA"/>
                    </w:rPr>
                  </w:pPr>
                  <w:r>
                    <w:rPr>
                      <w:rFonts w:hint="default" w:ascii="Times New Roman" w:hAnsi="Times New Roman" w:eastAsia="宋体" w:cs="Times New Roman"/>
                      <w:b/>
                      <w:bCs/>
                      <w:color w:val="auto"/>
                      <w:sz w:val="21"/>
                      <w:szCs w:val="21"/>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w:t>
                  </w:r>
                  <w:r>
                    <w:rPr>
                      <w:rFonts w:hint="eastAsia" w:cs="Times New Roman"/>
                      <w:b w:val="0"/>
                      <w:bCs w:val="0"/>
                      <w:color w:val="auto"/>
                      <w:sz w:val="21"/>
                      <w:szCs w:val="21"/>
                      <w:vertAlign w:val="baseline"/>
                      <w:lang w:val="en-US" w:eastAsia="zh-CN"/>
                    </w:rPr>
                    <w:t>泥</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32300</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粉煤灰</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5700</w:t>
                  </w:r>
                </w:p>
              </w:tc>
              <w:tc>
                <w:tcPr>
                  <w:tcW w:w="2058"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3</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水</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15000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罐车拉运至蓄水池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4</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水洗砂</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67100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5</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碎石（</w:t>
                  </w:r>
                  <w:r>
                    <w:rPr>
                      <w:rFonts w:hint="eastAsia" w:cs="Times New Roman"/>
                      <w:b w:val="0"/>
                      <w:bCs w:val="0"/>
                      <w:color w:val="auto"/>
                      <w:sz w:val="21"/>
                      <w:szCs w:val="21"/>
                      <w:vertAlign w:val="baseline"/>
                      <w:lang w:val="en-US" w:eastAsia="zh-CN"/>
                    </w:rPr>
                    <w:t>5-10</w:t>
                  </w:r>
                  <w:r>
                    <w:rPr>
                      <w:rFonts w:hint="default" w:ascii="Times New Roman" w:hAnsi="Times New Roman" w:eastAsia="宋体" w:cs="Times New Roman"/>
                      <w:b w:val="0"/>
                      <w:bCs w:val="0"/>
                      <w:color w:val="auto"/>
                      <w:sz w:val="21"/>
                      <w:szCs w:val="21"/>
                      <w:vertAlign w:val="baseline"/>
                      <w:lang w:val="en-US" w:eastAsia="zh-CN"/>
                    </w:rPr>
                    <w:t>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11100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6</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碎石（5-20mm）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55400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7</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碎石（</w:t>
                  </w:r>
                  <w:r>
                    <w:rPr>
                      <w:rFonts w:hint="eastAsia" w:cs="Times New Roman"/>
                      <w:b w:val="0"/>
                      <w:bCs w:val="0"/>
                      <w:color w:val="auto"/>
                      <w:sz w:val="21"/>
                      <w:szCs w:val="21"/>
                      <w:vertAlign w:val="baseline"/>
                      <w:lang w:val="en-US" w:eastAsia="zh-CN"/>
                    </w:rPr>
                    <w:t>16-31.5</w:t>
                  </w:r>
                  <w:r>
                    <w:rPr>
                      <w:rFonts w:hint="default" w:ascii="Times New Roman" w:hAnsi="Times New Roman" w:eastAsia="宋体" w:cs="Times New Roman"/>
                      <w:b w:val="0"/>
                      <w:bCs w:val="0"/>
                      <w:color w:val="auto"/>
                      <w:sz w:val="21"/>
                      <w:szCs w:val="21"/>
                      <w:vertAlign w:val="baseline"/>
                      <w:lang w:val="en-US" w:eastAsia="zh-CN"/>
                    </w:rPr>
                    <w:t>mm）</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44400</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12"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8</w:t>
                  </w:r>
                </w:p>
              </w:tc>
              <w:tc>
                <w:tcPr>
                  <w:tcW w:w="2509"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外加剂</w:t>
                  </w:r>
                </w:p>
              </w:tc>
              <w:tc>
                <w:tcPr>
                  <w:tcW w:w="2570" w:type="dxa"/>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eastAsia" w:cs="Times New Roman"/>
                      <w:b w:val="0"/>
                      <w:bCs w:val="0"/>
                      <w:color w:val="auto"/>
                      <w:kern w:val="0"/>
                      <w:sz w:val="21"/>
                      <w:szCs w:val="21"/>
                      <w:vertAlign w:val="baseline"/>
                      <w:lang w:val="en-US" w:eastAsia="zh-CN" w:bidi="ar-SA"/>
                    </w:rPr>
                    <w:t>573.8</w:t>
                  </w:r>
                </w:p>
              </w:tc>
              <w:tc>
                <w:tcPr>
                  <w:tcW w:w="205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kern w:val="0"/>
                      <w:sz w:val="21"/>
                      <w:szCs w:val="21"/>
                      <w:vertAlign w:val="baseline"/>
                      <w:lang w:val="en-US" w:eastAsia="zh-CN" w:bidi="ar-SA"/>
                    </w:rPr>
                    <w:t>外购</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主要原辅材料性质：</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①水泥：</w:t>
            </w:r>
            <w:r>
              <w:rPr>
                <w:rFonts w:hint="default" w:ascii="Times New Roman" w:hAnsi="Times New Roman" w:eastAsia="宋体" w:cs="Times New Roman"/>
                <w:b w:val="0"/>
                <w:bCs w:val="0"/>
                <w:color w:val="auto"/>
                <w:sz w:val="24"/>
                <w:szCs w:val="24"/>
                <w:lang w:val="en-US" w:eastAsia="zh-CN"/>
              </w:rPr>
              <w:t>粉状水硬性无机胶凝材料。加水搅拌后成浆体，能在空气中硬化或者在水中硬化，并能把砂、石等材料牢固地胶结在一起。</w:t>
            </w:r>
          </w:p>
          <w:p>
            <w:pPr>
              <w:pStyle w:val="20"/>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Chars="0" w:right="0" w:rightChars="0"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②碎石：</w:t>
            </w:r>
            <w:r>
              <w:rPr>
                <w:rFonts w:hint="default" w:ascii="Times New Roman" w:hAnsi="Times New Roman" w:eastAsia="宋体" w:cs="Times New Roman"/>
                <w:i w:val="0"/>
                <w:iCs w:val="0"/>
                <w:caps w:val="0"/>
                <w:color w:val="auto"/>
                <w:spacing w:val="0"/>
                <w:sz w:val="24"/>
                <w:szCs w:val="24"/>
                <w:shd w:val="clear" w:fill="FFFFFF"/>
              </w:rPr>
              <w:t>破碎的小块</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"https://baike.baidu.com/item/%E5%B2%A9%E7%9F%B3/256753?fromModule=lemma_inlink" \t "https://baike.baidu.com/item/%E7%A2%8E%E7%9F%B3/_blank"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岩石</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，它的大小、形状</w:t>
            </w:r>
            <w:r>
              <w:rPr>
                <w:rFonts w:hint="default" w:ascii="Times New Roman" w:hAnsi="Times New Roman" w:eastAsia="宋体" w:cs="Times New Roman"/>
                <w:i w:val="0"/>
                <w:iCs w:val="0"/>
                <w:caps w:val="0"/>
                <w:color w:val="auto"/>
                <w:spacing w:val="0"/>
                <w:sz w:val="24"/>
                <w:szCs w:val="24"/>
                <w:shd w:val="clear" w:fill="FFFFFF"/>
                <w:lang w:eastAsia="zh-CN"/>
              </w:rPr>
              <w:t>及</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"https://baike.baidu.com/item/%E7%BA%B9%E7%90%86/10413?fromModule=lemma_inlink" \t "https://baike.baidu.com/item/%E7%A2%8E%E7%9F%B3/_blank"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纹理</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都呈现不规则状态。它可能是因为天然原因，或是人为加以破坏之后产生。</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③粉煤灰：</w:t>
            </w:r>
            <w:r>
              <w:rPr>
                <w:rFonts w:hint="default" w:ascii="Times New Roman" w:hAnsi="Times New Roman" w:eastAsia="宋体" w:cs="Times New Roman"/>
                <w:i w:val="0"/>
                <w:iCs w:val="0"/>
                <w:caps w:val="0"/>
                <w:color w:val="auto"/>
                <w:spacing w:val="0"/>
                <w:sz w:val="24"/>
                <w:szCs w:val="24"/>
                <w:shd w:val="clear" w:fill="FFFFFF"/>
              </w:rPr>
              <w:t>粉煤灰，是从煤燃烧后的烟气中收捕下来的细灰，粉煤灰是燃煤电厂排出的主要固体废物。我国火电厂粉煤灰的主要氧化物组成为：SiO</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rPr>
              <w:t>、A</w:t>
            </w:r>
            <w:r>
              <w:rPr>
                <w:rFonts w:hint="default" w:ascii="Times New Roman" w:hAnsi="Times New Roman" w:eastAsia="宋体" w:cs="Times New Roman"/>
                <w:i w:val="0"/>
                <w:iCs w:val="0"/>
                <w:caps w:val="0"/>
                <w:color w:val="auto"/>
                <w:spacing w:val="0"/>
                <w:sz w:val="24"/>
                <w:szCs w:val="24"/>
                <w:shd w:val="clear" w:fill="FFFFFF"/>
                <w:vertAlign w:val="subscript"/>
              </w:rPr>
              <w:t>l2</w:t>
            </w:r>
            <w:r>
              <w:rPr>
                <w:rFonts w:hint="default" w:ascii="Times New Roman" w:hAnsi="Times New Roman" w:eastAsia="宋体" w:cs="Times New Roman"/>
                <w:i w:val="0"/>
                <w:iCs w:val="0"/>
                <w:caps w:val="0"/>
                <w:color w:val="auto"/>
                <w:spacing w:val="0"/>
                <w:sz w:val="24"/>
                <w:szCs w:val="24"/>
                <w:shd w:val="clear" w:fill="FFFFFF"/>
              </w:rPr>
              <w:t>O</w:t>
            </w:r>
            <w:r>
              <w:rPr>
                <w:rFonts w:hint="default" w:ascii="Times New Roman" w:hAnsi="Times New Roman" w:eastAsia="宋体" w:cs="Times New Roman"/>
                <w:i w:val="0"/>
                <w:iCs w:val="0"/>
                <w:caps w:val="0"/>
                <w:color w:val="auto"/>
                <w:spacing w:val="0"/>
                <w:sz w:val="24"/>
                <w:szCs w:val="24"/>
                <w:shd w:val="clear" w:fill="FFFFFF"/>
                <w:vertAlign w:val="subscript"/>
              </w:rPr>
              <w:t>3</w:t>
            </w:r>
            <w:r>
              <w:rPr>
                <w:rFonts w:hint="default" w:ascii="Times New Roman" w:hAnsi="Times New Roman" w:eastAsia="宋体" w:cs="Times New Roman"/>
                <w:i w:val="0"/>
                <w:iCs w:val="0"/>
                <w:caps w:val="0"/>
                <w:color w:val="auto"/>
                <w:spacing w:val="0"/>
                <w:sz w:val="24"/>
                <w:szCs w:val="24"/>
                <w:shd w:val="clear" w:fill="FFFFFF"/>
              </w:rPr>
              <w:t>、FeO、Fe</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rPr>
              <w:t>O</w:t>
            </w:r>
            <w:r>
              <w:rPr>
                <w:rFonts w:hint="default" w:ascii="Times New Roman" w:hAnsi="Times New Roman" w:eastAsia="宋体" w:cs="Times New Roman"/>
                <w:i w:val="0"/>
                <w:iCs w:val="0"/>
                <w:caps w:val="0"/>
                <w:color w:val="auto"/>
                <w:spacing w:val="0"/>
                <w:sz w:val="24"/>
                <w:szCs w:val="24"/>
                <w:shd w:val="clear" w:fill="FFFFFF"/>
                <w:vertAlign w:val="subscript"/>
              </w:rPr>
              <w:t>3</w:t>
            </w:r>
            <w:r>
              <w:rPr>
                <w:rFonts w:hint="default" w:ascii="Times New Roman" w:hAnsi="Times New Roman" w:eastAsia="宋体" w:cs="Times New Roman"/>
                <w:i w:val="0"/>
                <w:iCs w:val="0"/>
                <w:caps w:val="0"/>
                <w:color w:val="auto"/>
                <w:spacing w:val="0"/>
                <w:sz w:val="24"/>
                <w:szCs w:val="24"/>
                <w:shd w:val="clear" w:fill="FFFFFF"/>
              </w:rPr>
              <w:t>、CaO、</w:t>
            </w:r>
            <w:r>
              <w:rPr>
                <w:rFonts w:hint="default" w:ascii="Times New Roman" w:hAnsi="Times New Roman" w:eastAsia="宋体" w:cs="Times New Roman"/>
                <w:i w:val="0"/>
                <w:iCs w:val="0"/>
                <w:caps w:val="0"/>
                <w:color w:val="auto"/>
                <w:spacing w:val="0"/>
                <w:sz w:val="24"/>
                <w:szCs w:val="24"/>
                <w:u w:val="none"/>
                <w:shd w:val="clear" w:fill="FFFFFF"/>
              </w:rPr>
              <w:fldChar w:fldCharType="begin"/>
            </w:r>
            <w:r>
              <w:rPr>
                <w:rFonts w:hint="default" w:ascii="Times New Roman" w:hAnsi="Times New Roman" w:eastAsia="宋体" w:cs="Times New Roman"/>
                <w:i w:val="0"/>
                <w:iCs w:val="0"/>
                <w:caps w:val="0"/>
                <w:color w:val="auto"/>
                <w:spacing w:val="0"/>
                <w:sz w:val="24"/>
                <w:szCs w:val="24"/>
                <w:u w:val="none"/>
                <w:shd w:val="clear" w:fill="FFFFFF"/>
              </w:rPr>
              <w:instrText xml:space="preserve"> HYPERLINK "https://baike.baidu.com/item/TiO2/7323491?fromModule=lemma_inlink" \t "https://baike.baidu.com/item/%E7%B2%89%E7%85%A4%E7%81%B0/_blank" </w:instrText>
            </w:r>
            <w:r>
              <w:rPr>
                <w:rFonts w:hint="default" w:ascii="Times New Roman" w:hAnsi="Times New Roman" w:eastAsia="宋体" w:cs="Times New Roman"/>
                <w:i w:val="0"/>
                <w:iCs w:val="0"/>
                <w:caps w:val="0"/>
                <w:color w:val="auto"/>
                <w:spacing w:val="0"/>
                <w:sz w:val="24"/>
                <w:szCs w:val="24"/>
                <w:u w:val="none"/>
                <w:shd w:val="clear" w:fill="FFFFFF"/>
              </w:rPr>
              <w:fldChar w:fldCharType="separate"/>
            </w:r>
            <w:r>
              <w:rPr>
                <w:rStyle w:val="27"/>
                <w:rFonts w:hint="default" w:ascii="Times New Roman" w:hAnsi="Times New Roman" w:eastAsia="宋体" w:cs="Times New Roman"/>
                <w:i w:val="0"/>
                <w:iCs w:val="0"/>
                <w:caps w:val="0"/>
                <w:color w:val="auto"/>
                <w:spacing w:val="0"/>
                <w:sz w:val="24"/>
                <w:szCs w:val="24"/>
                <w:u w:val="none"/>
                <w:shd w:val="clear" w:fill="FFFFFF"/>
              </w:rPr>
              <w:t>TiO</w:t>
            </w:r>
            <w:r>
              <w:rPr>
                <w:rStyle w:val="27"/>
                <w:rFonts w:hint="default" w:ascii="Times New Roman" w:hAnsi="Times New Roman" w:eastAsia="宋体" w:cs="Times New Roman"/>
                <w:i w:val="0"/>
                <w:iCs w:val="0"/>
                <w:caps w:val="0"/>
                <w:color w:val="auto"/>
                <w:spacing w:val="0"/>
                <w:sz w:val="24"/>
                <w:szCs w:val="24"/>
                <w:u w:val="none"/>
                <w:shd w:val="clear" w:fill="FFFFFF"/>
                <w:vertAlign w:val="subscript"/>
              </w:rPr>
              <w:t>2</w:t>
            </w:r>
            <w:r>
              <w:rPr>
                <w:rFonts w:hint="default" w:ascii="Times New Roman" w:hAnsi="Times New Roman" w:eastAsia="宋体" w:cs="Times New Roman"/>
                <w:i w:val="0"/>
                <w:iCs w:val="0"/>
                <w:caps w:val="0"/>
                <w:color w:val="auto"/>
                <w:spacing w:val="0"/>
                <w:sz w:val="24"/>
                <w:szCs w:val="24"/>
                <w:u w:val="none"/>
                <w:shd w:val="clear" w:fill="FFFFFF"/>
              </w:rPr>
              <w:fldChar w:fldCharType="end"/>
            </w:r>
            <w:r>
              <w:rPr>
                <w:rFonts w:hint="default" w:ascii="Times New Roman" w:hAnsi="Times New Roman" w:eastAsia="宋体" w:cs="Times New Roman"/>
                <w:i w:val="0"/>
                <w:iCs w:val="0"/>
                <w:caps w:val="0"/>
                <w:color w:val="auto"/>
                <w:spacing w:val="0"/>
                <w:sz w:val="24"/>
                <w:szCs w:val="24"/>
                <w:shd w:val="clear" w:fill="FFFFFF"/>
              </w:rPr>
              <w:t>等。随着电力工业的发展，燃煤电厂的粉煤灰排放量逐年增加，成为我国当前排量较大的工业废渣之一。大量的粉煤灰不加处理，就会产生扬尘，污染大气；若排入水系会造成河流淤塞，而其中的有毒化学物质还会对人体和生物造成危害。但粉煤灰可资源化利用，如作为混凝土的掺合料等。</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val="en-US" w:eastAsia="zh-CN"/>
              </w:rPr>
              <w:t>④外加剂：</w:t>
            </w:r>
            <w:r>
              <w:rPr>
                <w:rFonts w:hint="default" w:ascii="Times New Roman" w:hAnsi="Times New Roman" w:eastAsia="宋体" w:cs="Times New Roman"/>
                <w:b w:val="0"/>
                <w:bCs w:val="0"/>
                <w:color w:val="auto"/>
                <w:sz w:val="24"/>
                <w:szCs w:val="24"/>
                <w:lang w:val="en-US" w:eastAsia="zh-CN"/>
              </w:rPr>
              <w:t>混凝土外加剂是指为改善和调节混凝土的性能而掺加的物质。主要为减水剂、速凝剂、膨胀剂等。</w:t>
            </w:r>
          </w:p>
          <w:p>
            <w:pPr>
              <w:pStyle w:val="2"/>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bCs/>
                <w:color w:val="auto"/>
                <w:sz w:val="24"/>
                <w:szCs w:val="24"/>
                <w:lang w:val="en-US" w:eastAsia="zh-CN"/>
              </w:rPr>
              <w:t>⑤水洗砂：</w:t>
            </w:r>
            <w:r>
              <w:rPr>
                <w:rFonts w:hint="default" w:ascii="Times New Roman" w:hAnsi="Times New Roman" w:eastAsia="宋体" w:cs="Times New Roman"/>
                <w:i w:val="0"/>
                <w:iCs w:val="0"/>
                <w:caps w:val="0"/>
                <w:color w:val="auto"/>
                <w:spacing w:val="0"/>
                <w:sz w:val="24"/>
                <w:szCs w:val="24"/>
                <w:shd w:val="clear" w:fill="FFFFFF"/>
              </w:rPr>
              <w:t>水洗砂又称无尘砂，是一种非金属矿物质，是一种坚硬、耐磨、化学性能稳定的硅酸盐矿物，其主要矿物成分是SiO</w:t>
            </w:r>
            <w:r>
              <w:rPr>
                <w:rFonts w:hint="default" w:ascii="Times New Roman" w:hAnsi="Times New Roman" w:eastAsia="宋体" w:cs="Times New Roman"/>
                <w:i w:val="0"/>
                <w:iCs w:val="0"/>
                <w:caps w:val="0"/>
                <w:color w:val="auto"/>
                <w:spacing w:val="0"/>
                <w:sz w:val="24"/>
                <w:szCs w:val="24"/>
                <w:shd w:val="clear" w:fill="FFFFFF"/>
                <w:vertAlign w:val="subscript"/>
              </w:rPr>
              <w:t>2</w:t>
            </w: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lang w:val="en-US" w:eastAsia="zh-CN"/>
              </w:rPr>
              <w:t>主要用于建筑材料。</w:t>
            </w:r>
          </w:p>
          <w:p>
            <w:pPr>
              <w:pStyle w:val="21"/>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主要生产设备</w:t>
            </w:r>
          </w:p>
          <w:p>
            <w:pPr>
              <w:pStyle w:val="2"/>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本项目主要生产设备信息见表2-4。</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lang w:val="en-US" w:eastAsia="zh-CN"/>
              </w:rPr>
              <w:t>表2-4  主要生产设备信息一览表</w:t>
            </w:r>
          </w:p>
          <w:tbl>
            <w:tblPr>
              <w:tblStyle w:val="23"/>
              <w:tblW w:w="4998"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36"/>
              <w:gridCol w:w="1799"/>
              <w:gridCol w:w="1666"/>
              <w:gridCol w:w="1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序号</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设备名称</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规格型号</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数量</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搅拌机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sz w:val="21"/>
                      <w:szCs w:val="21"/>
                      <w:vertAlign w:val="baseline"/>
                      <w:lang w:val="en-US" w:eastAsia="zh-CN"/>
                    </w:rPr>
                    <w:t>JS3000</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2</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配料机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ZEL-3-HT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皮带机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20</w:t>
                  </w:r>
                  <w:r>
                    <w:rPr>
                      <w:rFonts w:hint="eastAsia" w:ascii="Times New Roman" w:hAnsi="Times New Roman" w:eastAsia="宋体" w:cs="Times New Roman"/>
                      <w:b w:val="0"/>
                      <w:bCs/>
                      <w:color w:val="auto"/>
                      <w:kern w:val="2"/>
                      <w:sz w:val="21"/>
                      <w:szCs w:val="21"/>
                      <w:vertAlign w:val="baseline"/>
                      <w:lang w:val="en-US" w:eastAsia="zh-CN" w:bidi="ar-SA"/>
                    </w:rPr>
                    <w:t>m，2条</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4</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中间</w:t>
                  </w:r>
                  <w:r>
                    <w:rPr>
                      <w:rFonts w:hint="default" w:ascii="Times New Roman" w:hAnsi="Times New Roman" w:eastAsia="宋体" w:cs="Times New Roman"/>
                      <w:b w:val="0"/>
                      <w:bCs/>
                      <w:color w:val="auto"/>
                      <w:sz w:val="21"/>
                      <w:szCs w:val="21"/>
                      <w:vertAlign w:val="baseline"/>
                      <w:lang w:val="en-US" w:eastAsia="zh-CN"/>
                    </w:rPr>
                    <w:t>骨料仓</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2</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5</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筒仓</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容量：</w:t>
                  </w:r>
                  <w:r>
                    <w:rPr>
                      <w:rFonts w:hint="eastAsia" w:ascii="Times New Roman" w:hAnsi="Times New Roman" w:eastAsia="宋体" w:cs="Times New Roman"/>
                      <w:b w:val="0"/>
                      <w:bCs/>
                      <w:color w:val="auto"/>
                      <w:sz w:val="21"/>
                      <w:szCs w:val="21"/>
                      <w:vertAlign w:val="baseline"/>
                      <w:lang w:val="en-US" w:eastAsia="zh-CN"/>
                    </w:rPr>
                    <w:t>150</w:t>
                  </w:r>
                  <w:r>
                    <w:rPr>
                      <w:rFonts w:hint="default" w:ascii="Times New Roman" w:hAnsi="Times New Roman" w:eastAsia="宋体" w:cs="Times New Roman"/>
                      <w:b w:val="0"/>
                      <w:bCs/>
                      <w:color w:val="auto"/>
                      <w:sz w:val="21"/>
                      <w:szCs w:val="21"/>
                      <w:vertAlign w:val="baseline"/>
                      <w:lang w:val="en-US" w:eastAsia="zh-CN"/>
                    </w:rPr>
                    <w:t>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6</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螺旋输送机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7</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称量斗</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outlineLvl w:val="9"/>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16</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8</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传感器</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9</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布袋除尘机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2</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脉冲袋式除尘机</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8</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11</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泵</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eastAsia" w:ascii="Times New Roman" w:hAnsi="Times New Roman" w:eastAsia="宋体" w:cs="Times New Roman"/>
                      <w:b w:val="0"/>
                      <w:bCs/>
                      <w:color w:val="auto"/>
                      <w:kern w:val="2"/>
                      <w:sz w:val="21"/>
                      <w:szCs w:val="21"/>
                      <w:vertAlign w:val="baseline"/>
                      <w:lang w:val="en-US" w:eastAsia="zh-CN" w:bidi="ar-SA"/>
                    </w:rPr>
                    <w:t>4</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9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12</w:t>
                  </w:r>
                </w:p>
              </w:tc>
              <w:tc>
                <w:tcPr>
                  <w:tcW w:w="203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临时沉淀池</w:t>
                  </w:r>
                </w:p>
              </w:tc>
              <w:tc>
                <w:tcPr>
                  <w:tcW w:w="1799"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10m</w:t>
                  </w:r>
                  <w:r>
                    <w:rPr>
                      <w:rFonts w:hint="eastAsia" w:ascii="Times New Roman" w:hAnsi="Times New Roman" w:eastAsia="宋体" w:cs="Times New Roman"/>
                      <w:b w:val="0"/>
                      <w:bCs/>
                      <w:color w:val="auto"/>
                      <w:sz w:val="21"/>
                      <w:szCs w:val="21"/>
                      <w:vertAlign w:val="superscript"/>
                      <w:lang w:val="en-US" w:eastAsia="zh-CN"/>
                    </w:rPr>
                    <w:t>3</w:t>
                  </w:r>
                </w:p>
              </w:tc>
              <w:tc>
                <w:tcPr>
                  <w:tcW w:w="166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1</w:t>
                  </w:r>
                </w:p>
              </w:tc>
              <w:tc>
                <w:tcPr>
                  <w:tcW w:w="164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kern w:val="2"/>
                      <w:sz w:val="21"/>
                      <w:szCs w:val="21"/>
                      <w:vertAlign w:val="baseline"/>
                      <w:lang w:val="en-US" w:eastAsia="zh-CN" w:bidi="ar-SA"/>
                    </w:rPr>
                  </w:pPr>
                  <w:r>
                    <w:rPr>
                      <w:rFonts w:hint="default" w:ascii="Times New Roman" w:hAnsi="Times New Roman" w:eastAsia="宋体" w:cs="Times New Roman"/>
                      <w:b w:val="0"/>
                      <w:bCs/>
                      <w:color w:val="auto"/>
                      <w:kern w:val="2"/>
                      <w:sz w:val="21"/>
                      <w:szCs w:val="21"/>
                      <w:vertAlign w:val="baseline"/>
                      <w:lang w:val="en-US" w:eastAsia="zh-CN" w:bidi="ar-SA"/>
                    </w:rPr>
                    <w:t>座</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before="157" w:beforeLines="50"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公用工程</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给水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给水类型：项目用水包括生活用水和生产用水；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给水来源：本项目值班人员食宿依托</w:t>
            </w:r>
            <w:r>
              <w:rPr>
                <w:rFonts w:hint="eastAsia" w:cs="Times New Roman"/>
                <w:b w:val="0"/>
                <w:bCs w:val="0"/>
                <w:color w:val="auto"/>
                <w:sz w:val="24"/>
                <w:szCs w:val="24"/>
                <w:highlight w:val="none"/>
                <w:lang w:val="en-US" w:eastAsia="zh-CN"/>
              </w:rPr>
              <w:t>建设单位项目部</w:t>
            </w:r>
            <w:r>
              <w:rPr>
                <w:rFonts w:hint="default" w:ascii="Times New Roman" w:hAnsi="Times New Roman" w:eastAsia="宋体" w:cs="Times New Roman"/>
                <w:b w:val="0"/>
                <w:bCs w:val="0"/>
                <w:color w:val="auto"/>
                <w:sz w:val="24"/>
                <w:szCs w:val="24"/>
                <w:highlight w:val="none"/>
                <w:lang w:val="en-US" w:eastAsia="zh-CN"/>
              </w:rPr>
              <w:t>，工作期间生活用水采用外购桶装纯净水，生产用水</w:t>
            </w:r>
            <w:r>
              <w:rPr>
                <w:rFonts w:hint="eastAsia" w:cs="Times New Roman"/>
                <w:b w:val="0"/>
                <w:bCs w:val="0"/>
                <w:color w:val="auto"/>
                <w:sz w:val="24"/>
                <w:szCs w:val="24"/>
                <w:highlight w:val="none"/>
                <w:lang w:val="en-US" w:eastAsia="zh-CN"/>
              </w:rPr>
              <w:t>由罐车拉运至厂区原有蓄水池</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①生活用水：</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highlight w:val="none"/>
              </w:rPr>
            </w:pPr>
            <w:r>
              <w:rPr>
                <w:rFonts w:hint="default" w:ascii="Times New Roman" w:hAnsi="Times New Roman" w:eastAsia="宋体" w:cs="Times New Roman"/>
                <w:b w:val="0"/>
                <w:bCs w:val="0"/>
                <w:color w:val="auto"/>
                <w:kern w:val="0"/>
                <w:sz w:val="24"/>
                <w:szCs w:val="24"/>
                <w:highlight w:val="none"/>
                <w:lang w:val="en-US" w:eastAsia="zh-CN" w:bidi="ar"/>
              </w:rPr>
              <w:t>厂区定员</w:t>
            </w:r>
            <w:r>
              <w:rPr>
                <w:rFonts w:hint="eastAsia" w:cs="Times New Roman"/>
                <w:b w:val="0"/>
                <w:bCs w:val="0"/>
                <w:color w:val="auto"/>
                <w:kern w:val="0"/>
                <w:sz w:val="24"/>
                <w:szCs w:val="24"/>
                <w:highlight w:val="none"/>
                <w:lang w:val="en-US" w:eastAsia="zh-CN" w:bidi="ar"/>
              </w:rPr>
              <w:t>20</w:t>
            </w:r>
            <w:r>
              <w:rPr>
                <w:rFonts w:hint="default" w:ascii="Times New Roman" w:hAnsi="Times New Roman" w:eastAsia="宋体" w:cs="Times New Roman"/>
                <w:b w:val="0"/>
                <w:bCs w:val="0"/>
                <w:color w:val="auto"/>
                <w:kern w:val="0"/>
                <w:sz w:val="24"/>
                <w:szCs w:val="24"/>
                <w:highlight w:val="none"/>
                <w:lang w:val="en-US" w:eastAsia="zh-CN" w:bidi="ar"/>
              </w:rPr>
              <w:t>人，</w:t>
            </w:r>
            <w:r>
              <w:rPr>
                <w:rFonts w:hint="eastAsia" w:cs="Times New Roman"/>
                <w:b w:val="0"/>
                <w:bCs w:val="0"/>
                <w:color w:val="auto"/>
                <w:kern w:val="0"/>
                <w:sz w:val="24"/>
                <w:szCs w:val="24"/>
                <w:highlight w:val="none"/>
                <w:lang w:val="en-US" w:eastAsia="zh-CN" w:bidi="ar"/>
              </w:rPr>
              <w:t>运营周期为450天</w:t>
            </w:r>
            <w:r>
              <w:rPr>
                <w:rFonts w:hint="default" w:ascii="Times New Roman" w:hAnsi="Times New Roman" w:eastAsia="宋体" w:cs="Times New Roman"/>
                <w:b w:val="0"/>
                <w:bCs w:val="0"/>
                <w:color w:val="auto"/>
                <w:kern w:val="0"/>
                <w:sz w:val="24"/>
                <w:szCs w:val="24"/>
                <w:highlight w:val="none"/>
                <w:lang w:val="en-US" w:eastAsia="zh-CN" w:bidi="ar"/>
              </w:rPr>
              <w:t>，</w:t>
            </w:r>
            <w:r>
              <w:rPr>
                <w:rFonts w:hint="eastAsia" w:cs="Times New Roman"/>
                <w:b w:val="0"/>
                <w:bCs w:val="0"/>
                <w:color w:val="auto"/>
                <w:kern w:val="0"/>
                <w:sz w:val="24"/>
                <w:szCs w:val="24"/>
                <w:highlight w:val="none"/>
                <w:lang w:val="en-US" w:eastAsia="zh-CN" w:bidi="ar"/>
              </w:rPr>
              <w:t>12</w:t>
            </w:r>
            <w:r>
              <w:rPr>
                <w:rFonts w:hint="default" w:ascii="Times New Roman" w:hAnsi="Times New Roman" w:eastAsia="宋体" w:cs="Times New Roman"/>
                <w:b w:val="0"/>
                <w:bCs w:val="0"/>
                <w:color w:val="auto"/>
                <w:kern w:val="0"/>
                <w:sz w:val="24"/>
                <w:szCs w:val="24"/>
                <w:highlight w:val="none"/>
                <w:lang w:val="en-US" w:eastAsia="zh-CN" w:bidi="ar"/>
              </w:rPr>
              <w:t>小时工作制。根据《宁夏回族自治区有关行业用水定额（修订）》（宁政办规发</w:t>
            </w:r>
            <w:r>
              <w:rPr>
                <w:rFonts w:hint="default" w:ascii="Times New Roman" w:hAnsi="Times New Roman" w:eastAsia="宋体" w:cs="Times New Roman"/>
                <w:b w:val="0"/>
                <w:bCs w:val="0"/>
                <w:color w:val="auto"/>
                <w:sz w:val="24"/>
                <w:szCs w:val="24"/>
                <w:highlight w:val="none"/>
                <w:lang w:val="en-US" w:eastAsia="zh-CN"/>
              </w:rPr>
              <w:t>〔2020〕</w:t>
            </w:r>
            <w:r>
              <w:rPr>
                <w:rFonts w:hint="default" w:ascii="Times New Roman" w:hAnsi="Times New Roman" w:eastAsia="宋体" w:cs="Times New Roman"/>
                <w:b w:val="0"/>
                <w:bCs w:val="0"/>
                <w:color w:val="auto"/>
                <w:kern w:val="0"/>
                <w:sz w:val="24"/>
                <w:szCs w:val="24"/>
                <w:highlight w:val="none"/>
                <w:lang w:val="en-US" w:eastAsia="zh-CN" w:bidi="ar"/>
              </w:rPr>
              <w:t>20号），</w:t>
            </w:r>
            <w:r>
              <w:rPr>
                <w:rFonts w:hint="default" w:ascii="Times New Roman" w:hAnsi="Times New Roman" w:eastAsia="宋体" w:cs="Times New Roman"/>
                <w:b w:val="0"/>
                <w:bCs w:val="0"/>
                <w:color w:val="auto"/>
                <w:kern w:val="2"/>
                <w:sz w:val="24"/>
                <w:szCs w:val="24"/>
                <w:highlight w:val="none"/>
              </w:rPr>
              <w:t>生活用水定额按</w:t>
            </w:r>
            <w:r>
              <w:rPr>
                <w:rFonts w:hint="eastAsia" w:cs="Times New Roman"/>
                <w:b w:val="0"/>
                <w:bCs w:val="0"/>
                <w:color w:val="auto"/>
                <w:kern w:val="2"/>
                <w:sz w:val="24"/>
                <w:szCs w:val="24"/>
                <w:highlight w:val="none"/>
                <w:lang w:val="en-US" w:eastAsia="zh-CN"/>
              </w:rPr>
              <w:t>70</w:t>
            </w:r>
            <w:r>
              <w:rPr>
                <w:rFonts w:hint="default" w:ascii="Times New Roman" w:hAnsi="Times New Roman" w:eastAsia="宋体" w:cs="Times New Roman"/>
                <w:b w:val="0"/>
                <w:bCs w:val="0"/>
                <w:color w:val="auto"/>
                <w:kern w:val="2"/>
                <w:sz w:val="24"/>
                <w:szCs w:val="24"/>
                <w:highlight w:val="none"/>
              </w:rPr>
              <w:t>L/人·d计，则生活用水量约为</w:t>
            </w:r>
            <w:r>
              <w:rPr>
                <w:rFonts w:hint="eastAsia" w:cs="Times New Roman"/>
                <w:b w:val="0"/>
                <w:bCs w:val="0"/>
                <w:color w:val="auto"/>
                <w:kern w:val="2"/>
                <w:sz w:val="24"/>
                <w:szCs w:val="24"/>
                <w:highlight w:val="none"/>
                <w:lang w:val="en-US" w:eastAsia="zh-CN"/>
              </w:rPr>
              <w:t>1.4</w:t>
            </w:r>
            <w:r>
              <w:rPr>
                <w:rFonts w:hint="default" w:ascii="Times New Roman" w:hAnsi="Times New Roman" w:eastAsia="宋体" w:cs="Times New Roman"/>
                <w:b w:val="0"/>
                <w:bCs w:val="0"/>
                <w:color w:val="auto"/>
                <w:kern w:val="2"/>
                <w:sz w:val="24"/>
                <w:szCs w:val="24"/>
                <w:highlight w:val="none"/>
              </w:rPr>
              <w:t>m</w:t>
            </w:r>
            <w:r>
              <w:rPr>
                <w:rFonts w:hint="default" w:ascii="Times New Roman" w:hAnsi="Times New Roman" w:eastAsia="宋体" w:cs="Times New Roman"/>
                <w:b w:val="0"/>
                <w:bCs w:val="0"/>
                <w:color w:val="auto"/>
                <w:kern w:val="2"/>
                <w:sz w:val="24"/>
                <w:szCs w:val="24"/>
                <w:highlight w:val="none"/>
                <w:vertAlign w:val="superscript"/>
              </w:rPr>
              <w:t>3</w:t>
            </w:r>
            <w:r>
              <w:rPr>
                <w:rFonts w:hint="default" w:ascii="Times New Roman" w:hAnsi="Times New Roman" w:eastAsia="宋体" w:cs="Times New Roman"/>
                <w:b w:val="0"/>
                <w:bCs w:val="0"/>
                <w:color w:val="auto"/>
                <w:kern w:val="2"/>
                <w:sz w:val="24"/>
                <w:szCs w:val="24"/>
                <w:highlight w:val="none"/>
              </w:rPr>
              <w:t>/d。</w:t>
            </w:r>
            <w:r>
              <w:rPr>
                <w:rFonts w:hint="eastAsia" w:cs="Times New Roman"/>
                <w:b w:val="0"/>
                <w:bCs w:val="0"/>
                <w:color w:val="auto"/>
                <w:kern w:val="2"/>
                <w:sz w:val="24"/>
                <w:szCs w:val="24"/>
                <w:highlight w:val="none"/>
                <w:lang w:eastAsia="zh-CN"/>
              </w:rPr>
              <w:t>（</w:t>
            </w:r>
            <w:r>
              <w:rPr>
                <w:rFonts w:hint="eastAsia" w:cs="Times New Roman"/>
                <w:b w:val="0"/>
                <w:bCs w:val="0"/>
                <w:color w:val="auto"/>
                <w:kern w:val="2"/>
                <w:sz w:val="24"/>
                <w:szCs w:val="24"/>
                <w:highlight w:val="none"/>
                <w:lang w:val="en-US" w:eastAsia="zh-CN"/>
              </w:rPr>
              <w:t>运营周期生活用水总量为630m</w:t>
            </w:r>
            <w:r>
              <w:rPr>
                <w:rFonts w:hint="eastAsia" w:cs="Times New Roman"/>
                <w:b w:val="0"/>
                <w:bCs w:val="0"/>
                <w:color w:val="auto"/>
                <w:kern w:val="2"/>
                <w:sz w:val="24"/>
                <w:szCs w:val="24"/>
                <w:highlight w:val="none"/>
                <w:vertAlign w:val="superscript"/>
                <w:lang w:val="en-US" w:eastAsia="zh-CN"/>
              </w:rPr>
              <w:t>3</w:t>
            </w:r>
            <w:r>
              <w:rPr>
                <w:rFonts w:hint="eastAsia" w:cs="Times New Roman"/>
                <w:b w:val="0"/>
                <w:bCs w:val="0"/>
                <w:color w:val="auto"/>
                <w:kern w:val="2"/>
                <w:sz w:val="24"/>
                <w:szCs w:val="24"/>
                <w:highlight w:val="none"/>
                <w:lang w:eastAsia="zh-CN"/>
              </w:rPr>
              <w:t>）</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bidi="ar"/>
              </w:rPr>
              <w:t>②生产用水：</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kern w:val="0"/>
                <w:sz w:val="24"/>
                <w:szCs w:val="24"/>
                <w:highlight w:val="none"/>
                <w:lang w:val="en-US" w:eastAsia="zh-CN" w:bidi="ar"/>
              </w:rPr>
              <w:t>混凝土用水：项目设计产出</w:t>
            </w:r>
            <w:r>
              <w:rPr>
                <w:rFonts w:hint="eastAsia" w:cs="Times New Roman"/>
                <w:b w:val="0"/>
                <w:bCs w:val="0"/>
                <w:color w:val="auto"/>
                <w:kern w:val="0"/>
                <w:sz w:val="24"/>
                <w:szCs w:val="24"/>
                <w:highlight w:val="none"/>
                <w:lang w:val="en-US" w:eastAsia="zh-CN" w:bidi="ar"/>
              </w:rPr>
              <w:t>10万m</w:t>
            </w:r>
            <w:r>
              <w:rPr>
                <w:rFonts w:hint="eastAsia"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lang w:val="en-US" w:eastAsia="zh-CN" w:bidi="ar"/>
              </w:rPr>
              <w:t>混凝土，每m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lang w:val="en-US" w:eastAsia="zh-CN" w:bidi="ar"/>
              </w:rPr>
              <w:t>混凝土用水量为</w:t>
            </w:r>
            <w:r>
              <w:rPr>
                <w:rFonts w:hint="eastAsia" w:cs="Times New Roman"/>
                <w:b w:val="0"/>
                <w:bCs w:val="0"/>
                <w:color w:val="auto"/>
                <w:kern w:val="0"/>
                <w:sz w:val="24"/>
                <w:szCs w:val="24"/>
                <w:highlight w:val="none"/>
                <w:lang w:val="en-US" w:eastAsia="zh-CN" w:bidi="ar"/>
              </w:rPr>
              <w:t>150</w:t>
            </w:r>
            <w:r>
              <w:rPr>
                <w:rFonts w:hint="default" w:ascii="Times New Roman" w:hAnsi="Times New Roman" w:eastAsia="宋体" w:cs="Times New Roman"/>
                <w:b w:val="0"/>
                <w:bCs w:val="0"/>
                <w:color w:val="auto"/>
                <w:kern w:val="0"/>
                <w:sz w:val="24"/>
                <w:szCs w:val="24"/>
                <w:highlight w:val="none"/>
                <w:lang w:val="en-US" w:eastAsia="zh-CN" w:bidi="ar"/>
              </w:rPr>
              <w:t>kg，则混凝土用水量为</w:t>
            </w:r>
            <w:r>
              <w:rPr>
                <w:rFonts w:hint="eastAsia" w:cs="Times New Roman"/>
                <w:b w:val="0"/>
                <w:bCs w:val="0"/>
                <w:color w:val="auto"/>
                <w:kern w:val="0"/>
                <w:sz w:val="24"/>
                <w:szCs w:val="24"/>
                <w:highlight w:val="none"/>
                <w:lang w:val="en-US" w:eastAsia="zh-CN" w:bidi="ar"/>
              </w:rPr>
              <w:t>33.3</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lang w:val="en-US" w:eastAsia="zh-CN" w:bidi="ar"/>
              </w:rPr>
              <w:t>/</w:t>
            </w:r>
            <w:r>
              <w:rPr>
                <w:rFonts w:hint="eastAsia" w:cs="Times New Roman"/>
                <w:b w:val="0"/>
                <w:bCs w:val="0"/>
                <w:color w:val="auto"/>
                <w:kern w:val="0"/>
                <w:sz w:val="24"/>
                <w:szCs w:val="24"/>
                <w:highlight w:val="none"/>
                <w:lang w:val="en-US" w:eastAsia="zh-CN" w:bidi="ar"/>
              </w:rPr>
              <w:t>d</w:t>
            </w:r>
            <w:r>
              <w:rPr>
                <w:rFonts w:hint="default" w:ascii="Times New Roman" w:hAnsi="Times New Roman" w:eastAsia="宋体" w:cs="Times New Roman"/>
                <w:b w:val="0"/>
                <w:bCs w:val="0"/>
                <w:color w:val="auto"/>
                <w:kern w:val="0"/>
                <w:sz w:val="24"/>
                <w:szCs w:val="24"/>
                <w:highlight w:val="none"/>
                <w:lang w:val="en-US" w:eastAsia="zh-CN" w:bidi="ar"/>
              </w:rPr>
              <w:t>（即</w:t>
            </w:r>
            <w:r>
              <w:rPr>
                <w:rFonts w:hint="eastAsia" w:cs="Times New Roman"/>
                <w:b w:val="0"/>
                <w:bCs w:val="0"/>
                <w:color w:val="auto"/>
                <w:kern w:val="0"/>
                <w:sz w:val="24"/>
                <w:szCs w:val="24"/>
                <w:highlight w:val="none"/>
                <w:lang w:val="en-US" w:eastAsia="zh-CN" w:bidi="ar"/>
              </w:rPr>
              <w:t>运营周期内混凝土用水</w:t>
            </w:r>
            <w:r>
              <w:rPr>
                <w:rFonts w:hint="default" w:ascii="Times New Roman" w:hAnsi="Times New Roman" w:eastAsia="宋体" w:cs="Times New Roman"/>
                <w:b w:val="0"/>
                <w:bCs w:val="0"/>
                <w:color w:val="auto"/>
                <w:kern w:val="0"/>
                <w:sz w:val="24"/>
                <w:szCs w:val="24"/>
                <w:highlight w:val="none"/>
                <w:lang w:val="en-US" w:eastAsia="zh-CN" w:bidi="ar"/>
              </w:rPr>
              <w:t>总量为</w:t>
            </w:r>
            <w:r>
              <w:rPr>
                <w:rFonts w:hint="eastAsia" w:cs="Times New Roman"/>
                <w:b w:val="0"/>
                <w:bCs w:val="0"/>
                <w:color w:val="auto"/>
                <w:kern w:val="0"/>
                <w:sz w:val="24"/>
                <w:szCs w:val="24"/>
                <w:highlight w:val="none"/>
                <w:lang w:val="en-US" w:eastAsia="zh-CN" w:bidi="ar"/>
              </w:rPr>
              <w:t>15000</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lang w:val="en-US" w:eastAsia="zh-CN" w:bidi="ar"/>
              </w:rPr>
              <w:t>）。</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搅拌机清洗用水：搅拌机冲洗用水量为2m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/次，每日清洗一次，则搅拌机清洗用水量为</w:t>
            </w:r>
            <w:r>
              <w:rPr>
                <w:rFonts w:hint="eastAsia" w:cs="Times New Roman"/>
                <w:b w:val="0"/>
                <w:bCs w:val="0"/>
                <w:color w:val="auto"/>
                <w:sz w:val="24"/>
                <w:szCs w:val="24"/>
                <w:highlight w:val="none"/>
                <w:lang w:val="en-US" w:eastAsia="zh-CN"/>
              </w:rPr>
              <w:t>2</w:t>
            </w:r>
            <w:r>
              <w:rPr>
                <w:rFonts w:hint="default" w:ascii="Times New Roman" w:hAnsi="Times New Roman" w:eastAsia="宋体" w:cs="Times New Roman"/>
                <w:b w:val="0"/>
                <w:bCs w:val="0"/>
                <w:color w:val="auto"/>
                <w:sz w:val="24"/>
                <w:szCs w:val="24"/>
                <w:highlight w:val="none"/>
                <w:lang w:val="en-US" w:eastAsia="zh-CN"/>
              </w:rPr>
              <w:t>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d</w:t>
            </w:r>
            <w:r>
              <w:rPr>
                <w:rFonts w:hint="default" w:ascii="Times New Roman" w:hAnsi="Times New Roman" w:eastAsia="宋体" w:cs="Times New Roman"/>
                <w:b w:val="0"/>
                <w:bCs w:val="0"/>
                <w:color w:val="auto"/>
                <w:sz w:val="24"/>
                <w:szCs w:val="24"/>
                <w:highlight w:val="none"/>
                <w:lang w:val="en-US" w:eastAsia="zh-CN"/>
              </w:rPr>
              <w:t>（即</w:t>
            </w:r>
            <w:r>
              <w:rPr>
                <w:rFonts w:hint="eastAsia" w:cs="Times New Roman"/>
                <w:b w:val="0"/>
                <w:bCs w:val="0"/>
                <w:color w:val="auto"/>
                <w:sz w:val="24"/>
                <w:szCs w:val="24"/>
                <w:highlight w:val="none"/>
                <w:lang w:val="en-US" w:eastAsia="zh-CN"/>
              </w:rPr>
              <w:t>运营周期内搅拌机清洗用水</w:t>
            </w:r>
            <w:r>
              <w:rPr>
                <w:rFonts w:hint="default" w:ascii="Times New Roman" w:hAnsi="Times New Roman" w:eastAsia="宋体" w:cs="Times New Roman"/>
                <w:b w:val="0"/>
                <w:bCs w:val="0"/>
                <w:color w:val="auto"/>
                <w:sz w:val="24"/>
                <w:szCs w:val="24"/>
                <w:highlight w:val="none"/>
                <w:lang w:val="en-US" w:eastAsia="zh-CN"/>
              </w:rPr>
              <w:t>总量为</w:t>
            </w:r>
            <w:r>
              <w:rPr>
                <w:rFonts w:hint="eastAsia" w:cs="Times New Roman"/>
                <w:b w:val="0"/>
                <w:bCs w:val="0"/>
                <w:color w:val="auto"/>
                <w:sz w:val="24"/>
                <w:szCs w:val="24"/>
                <w:highlight w:val="none"/>
                <w:lang w:val="en-US" w:eastAsia="zh-CN"/>
              </w:rPr>
              <w:t>900</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eastAsia="宋体" w:cs="Times New Roman"/>
                <w:b w:val="0"/>
                <w:bCs w:val="0"/>
                <w:color w:val="auto"/>
                <w:sz w:val="24"/>
                <w:szCs w:val="24"/>
                <w:highlight w:val="none"/>
                <w:lang w:val="en-US" w:eastAsia="zh-CN"/>
              </w:rPr>
              <w:t>车辆冲洗用水：进出厂区</w:t>
            </w:r>
            <w:r>
              <w:rPr>
                <w:rFonts w:hint="default" w:ascii="Times New Roman" w:hAnsi="Times New Roman" w:eastAsia="宋体" w:cs="Times New Roman"/>
                <w:b w:val="0"/>
                <w:bCs w:val="0"/>
                <w:color w:val="auto"/>
                <w:kern w:val="0"/>
                <w:sz w:val="24"/>
                <w:szCs w:val="24"/>
                <w:highlight w:val="none"/>
                <w:lang w:val="en-US" w:eastAsia="zh-CN" w:bidi="ar"/>
              </w:rPr>
              <w:t>运输车辆每日冲洗，冲洗水量为0.1m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lang w:val="en-US" w:eastAsia="zh-CN" w:bidi="ar"/>
              </w:rPr>
              <w:t>/辆·次，则车辆冲洗用水量约为</w:t>
            </w:r>
            <w:r>
              <w:rPr>
                <w:rFonts w:hint="eastAsia" w:cs="Times New Roman"/>
                <w:b w:val="0"/>
                <w:bCs w:val="0"/>
                <w:color w:val="auto"/>
                <w:kern w:val="0"/>
                <w:sz w:val="24"/>
                <w:szCs w:val="24"/>
                <w:highlight w:val="none"/>
                <w:lang w:val="en-US" w:eastAsia="zh-CN" w:bidi="ar"/>
              </w:rPr>
              <w:t>1.11</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d</w:t>
            </w:r>
            <w:r>
              <w:rPr>
                <w:rFonts w:hint="default" w:ascii="Times New Roman" w:hAnsi="Times New Roman" w:eastAsia="宋体" w:cs="Times New Roman"/>
                <w:b w:val="0"/>
                <w:bCs w:val="0"/>
                <w:color w:val="auto"/>
                <w:sz w:val="24"/>
                <w:szCs w:val="24"/>
                <w:highlight w:val="none"/>
                <w:lang w:val="en-US" w:eastAsia="zh-CN"/>
              </w:rPr>
              <w:t>（即</w:t>
            </w:r>
            <w:r>
              <w:rPr>
                <w:rFonts w:hint="eastAsia" w:cs="Times New Roman"/>
                <w:b w:val="0"/>
                <w:bCs w:val="0"/>
                <w:color w:val="auto"/>
                <w:sz w:val="24"/>
                <w:szCs w:val="24"/>
                <w:highlight w:val="none"/>
                <w:lang w:val="en-US" w:eastAsia="zh-CN"/>
              </w:rPr>
              <w:t>车辆冲洗用水</w:t>
            </w:r>
            <w:r>
              <w:rPr>
                <w:rFonts w:hint="default" w:ascii="Times New Roman" w:hAnsi="Times New Roman" w:eastAsia="宋体" w:cs="Times New Roman"/>
                <w:b w:val="0"/>
                <w:bCs w:val="0"/>
                <w:color w:val="auto"/>
                <w:sz w:val="24"/>
                <w:szCs w:val="24"/>
                <w:highlight w:val="none"/>
                <w:lang w:val="en-US" w:eastAsia="zh-CN"/>
              </w:rPr>
              <w:t>总量为</w:t>
            </w:r>
            <w:r>
              <w:rPr>
                <w:rFonts w:hint="eastAsia" w:cs="Times New Roman"/>
                <w:b w:val="0"/>
                <w:bCs w:val="0"/>
                <w:color w:val="auto"/>
                <w:sz w:val="24"/>
                <w:szCs w:val="24"/>
                <w:highlight w:val="none"/>
                <w:lang w:val="en-US" w:eastAsia="zh-CN"/>
              </w:rPr>
              <w:t>500</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sz w:val="24"/>
                <w:szCs w:val="24"/>
                <w:highlight w:val="none"/>
                <w:lang w:val="en-US" w:eastAsia="zh-CN"/>
              </w:rPr>
              <w:t>）</w:t>
            </w:r>
            <w:r>
              <w:rPr>
                <w:rFonts w:hint="default" w:ascii="Times New Roman" w:hAnsi="Times New Roman" w:eastAsia="宋体" w:cs="Times New Roman"/>
                <w:b w:val="0"/>
                <w:bCs w:val="0"/>
                <w:color w:val="auto"/>
                <w:kern w:val="0"/>
                <w:sz w:val="24"/>
                <w:szCs w:val="24"/>
                <w:highlight w:val="none"/>
                <w:lang w:val="en-US" w:eastAsia="zh-CN" w:bidi="ar"/>
              </w:rPr>
              <w:t>。</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厂区道路洒水：厂区运输道路每日定期洒水降尘，洒水量按2L/m</w:t>
            </w:r>
            <w:r>
              <w:rPr>
                <w:rFonts w:hint="default" w:ascii="Times New Roman" w:hAnsi="Times New Roman" w:eastAsia="宋体" w:cs="Times New Roman"/>
                <w:b w:val="0"/>
                <w:bCs w:val="0"/>
                <w:color w:val="auto"/>
                <w:sz w:val="24"/>
                <w:szCs w:val="24"/>
                <w:highlight w:val="none"/>
                <w:vertAlign w:val="superscript"/>
                <w:lang w:val="en-US" w:eastAsia="zh-CN"/>
              </w:rPr>
              <w:t>2</w:t>
            </w:r>
            <w:r>
              <w:rPr>
                <w:rFonts w:hint="default" w:ascii="Times New Roman" w:hAnsi="Times New Roman" w:eastAsia="宋体" w:cs="Times New Roman"/>
                <w:b w:val="0"/>
                <w:bCs w:val="0"/>
                <w:color w:val="auto"/>
                <w:kern w:val="0"/>
                <w:sz w:val="24"/>
                <w:szCs w:val="24"/>
                <w:highlight w:val="none"/>
                <w:lang w:val="en-US" w:eastAsia="zh-CN" w:bidi="ar"/>
              </w:rPr>
              <w:t>·d计，洒水面积以</w:t>
            </w:r>
            <w:r>
              <w:rPr>
                <w:rFonts w:hint="eastAsia" w:cs="Times New Roman"/>
                <w:b w:val="0"/>
                <w:bCs w:val="0"/>
                <w:color w:val="auto"/>
                <w:kern w:val="0"/>
                <w:sz w:val="24"/>
                <w:szCs w:val="24"/>
                <w:highlight w:val="none"/>
                <w:lang w:val="en-US" w:eastAsia="zh-CN" w:bidi="ar"/>
              </w:rPr>
              <w:t>5000</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2</w:t>
            </w:r>
            <w:r>
              <w:rPr>
                <w:rFonts w:hint="default" w:ascii="Times New Roman" w:hAnsi="Times New Roman" w:eastAsia="宋体" w:cs="Times New Roman"/>
                <w:b w:val="0"/>
                <w:bCs w:val="0"/>
                <w:color w:val="auto"/>
                <w:kern w:val="0"/>
                <w:sz w:val="24"/>
                <w:szCs w:val="24"/>
                <w:highlight w:val="none"/>
                <w:lang w:val="en-US" w:eastAsia="zh-CN" w:bidi="ar"/>
              </w:rPr>
              <w:t>计，则厂区道路洒水用水量为</w:t>
            </w:r>
            <w:r>
              <w:rPr>
                <w:rFonts w:hint="eastAsia" w:cs="Times New Roman"/>
                <w:b w:val="0"/>
                <w:bCs w:val="0"/>
                <w:color w:val="auto"/>
                <w:kern w:val="0"/>
                <w:sz w:val="24"/>
                <w:szCs w:val="24"/>
                <w:highlight w:val="none"/>
                <w:lang w:val="en-US" w:eastAsia="zh-CN" w:bidi="ar"/>
              </w:rPr>
              <w:t>10</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eastAsia" w:cs="Times New Roman"/>
                <w:b w:val="0"/>
                <w:bCs w:val="0"/>
                <w:color w:val="auto"/>
                <w:sz w:val="24"/>
                <w:szCs w:val="24"/>
                <w:highlight w:val="none"/>
                <w:lang w:val="en-US" w:eastAsia="zh-CN"/>
              </w:rPr>
              <w:t>/d</w:t>
            </w:r>
            <w:r>
              <w:rPr>
                <w:rFonts w:hint="default" w:ascii="Times New Roman" w:hAnsi="Times New Roman" w:eastAsia="宋体" w:cs="Times New Roman"/>
                <w:b w:val="0"/>
                <w:bCs w:val="0"/>
                <w:color w:val="auto"/>
                <w:sz w:val="24"/>
                <w:szCs w:val="24"/>
                <w:highlight w:val="none"/>
                <w:lang w:val="en-US" w:eastAsia="zh-CN"/>
              </w:rPr>
              <w:t>（即总量为</w:t>
            </w:r>
            <w:r>
              <w:rPr>
                <w:rFonts w:hint="eastAsia" w:cs="Times New Roman"/>
                <w:b w:val="0"/>
                <w:bCs w:val="0"/>
                <w:color w:val="auto"/>
                <w:sz w:val="24"/>
                <w:szCs w:val="24"/>
                <w:highlight w:val="none"/>
                <w:lang w:val="en-US" w:eastAsia="zh-CN"/>
              </w:rPr>
              <w:t>4500</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1120.5</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vertAlign w:val="baseline"/>
                <w:lang w:val="en-US" w:eastAsia="zh-CN" w:bidi="ar"/>
              </w:rPr>
              <w:t>取自车辆冲洗废水</w:t>
            </w:r>
            <w:r>
              <w:rPr>
                <w:rFonts w:hint="eastAsia" w:cs="Times New Roman"/>
                <w:b w:val="0"/>
                <w:bCs w:val="0"/>
                <w:color w:val="auto"/>
                <w:kern w:val="0"/>
                <w:sz w:val="24"/>
                <w:szCs w:val="24"/>
                <w:highlight w:val="none"/>
                <w:vertAlign w:val="baseline"/>
                <w:lang w:val="en-US" w:eastAsia="zh-CN" w:bidi="ar"/>
              </w:rPr>
              <w:t>及搅拌机清洗废水</w:t>
            </w:r>
            <w:r>
              <w:rPr>
                <w:rFonts w:hint="default" w:ascii="Times New Roman" w:hAnsi="Times New Roman" w:eastAsia="宋体" w:cs="Times New Roman"/>
                <w:b w:val="0"/>
                <w:bCs w:val="0"/>
                <w:color w:val="auto"/>
                <w:kern w:val="0"/>
                <w:sz w:val="24"/>
                <w:szCs w:val="24"/>
                <w:highlight w:val="none"/>
                <w:vertAlign w:val="baseline"/>
                <w:lang w:val="en-US" w:eastAsia="zh-CN" w:bidi="ar"/>
              </w:rPr>
              <w:t>沉淀后上清液，剩余</w:t>
            </w:r>
            <w:r>
              <w:rPr>
                <w:rFonts w:hint="eastAsia" w:cs="Times New Roman"/>
                <w:b w:val="0"/>
                <w:bCs w:val="0"/>
                <w:color w:val="auto"/>
                <w:sz w:val="24"/>
                <w:szCs w:val="24"/>
                <w:highlight w:val="none"/>
                <w:lang w:val="en-US" w:eastAsia="zh-CN"/>
              </w:rPr>
              <w:t>3379.5</w:t>
            </w:r>
            <w:r>
              <w:rPr>
                <w:rFonts w:hint="default" w:ascii="Times New Roman" w:hAnsi="Times New Roman" w:eastAsia="宋体" w:cs="Times New Roman"/>
                <w:b w:val="0"/>
                <w:bCs w:val="0"/>
                <w:color w:val="auto"/>
                <w:kern w:val="0"/>
                <w:sz w:val="24"/>
                <w:szCs w:val="24"/>
                <w:highlight w:val="none"/>
                <w:vertAlign w:val="baseli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vertAlign w:val="baseline"/>
                <w:lang w:val="en-US" w:eastAsia="zh-CN" w:bidi="ar"/>
              </w:rPr>
              <w:t>取新鲜水</w:t>
            </w:r>
            <w:r>
              <w:rPr>
                <w:rFonts w:hint="default" w:ascii="Times New Roman" w:hAnsi="Times New Roman" w:eastAsia="宋体" w:cs="Times New Roman"/>
                <w:b w:val="0"/>
                <w:bCs w:val="0"/>
                <w:color w:val="auto"/>
                <w:sz w:val="24"/>
                <w:szCs w:val="24"/>
                <w:highlight w:val="none"/>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综上所述，本项目运营</w:t>
            </w:r>
            <w:r>
              <w:rPr>
                <w:rFonts w:hint="eastAsia" w:cs="Times New Roman"/>
                <w:b w:val="0"/>
                <w:bCs w:val="0"/>
                <w:color w:val="auto"/>
                <w:sz w:val="24"/>
                <w:szCs w:val="24"/>
                <w:highlight w:val="none"/>
                <w:lang w:val="en-US" w:eastAsia="zh-CN"/>
              </w:rPr>
              <w:t>周期内</w:t>
            </w:r>
            <w:r>
              <w:rPr>
                <w:rFonts w:hint="default" w:ascii="Times New Roman" w:hAnsi="Times New Roman" w:eastAsia="宋体" w:cs="Times New Roman"/>
                <w:b w:val="0"/>
                <w:bCs w:val="0"/>
                <w:color w:val="auto"/>
                <w:sz w:val="24"/>
                <w:szCs w:val="24"/>
                <w:highlight w:val="none"/>
                <w:lang w:val="en-US" w:eastAsia="zh-CN"/>
              </w:rPr>
              <w:t>新鲜水总用水量为</w:t>
            </w:r>
            <w:r>
              <w:rPr>
                <w:rFonts w:hint="eastAsia" w:cs="Times New Roman"/>
                <w:b w:val="0"/>
                <w:bCs w:val="0"/>
                <w:color w:val="auto"/>
                <w:sz w:val="24"/>
                <w:szCs w:val="24"/>
                <w:highlight w:val="none"/>
                <w:lang w:val="en-US" w:eastAsia="zh-CN"/>
              </w:rPr>
              <w:t>20394</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sz w:val="24"/>
                <w:szCs w:val="24"/>
                <w:highlight w:val="none"/>
                <w:lang w:val="en-US" w:eastAsia="zh-CN"/>
              </w:rPr>
              <w:t>。</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排水</w:t>
            </w:r>
          </w:p>
          <w:p>
            <w:pPr>
              <w:pStyle w:val="2"/>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项目废水主要为少量的职工生活污水和生产废水。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①生活污水：按照生活用水量的80％计，约为</w:t>
            </w:r>
            <w:r>
              <w:rPr>
                <w:rFonts w:hint="eastAsia" w:cs="Times New Roman"/>
                <w:b w:val="0"/>
                <w:bCs w:val="0"/>
                <w:color w:val="auto"/>
                <w:sz w:val="24"/>
                <w:szCs w:val="24"/>
                <w:highlight w:val="none"/>
                <w:lang w:val="en-US" w:eastAsia="zh-CN"/>
              </w:rPr>
              <w:t>1.12</w:t>
            </w:r>
            <w:r>
              <w:rPr>
                <w:rFonts w:hint="default" w:ascii="Times New Roman" w:hAnsi="Times New Roman" w:eastAsia="宋体" w:cs="Times New Roman"/>
                <w:b w:val="0"/>
                <w:bCs w:val="0"/>
                <w:color w:val="auto"/>
                <w:kern w:val="0"/>
                <w:sz w:val="24"/>
                <w:szCs w:val="24"/>
                <w:highlight w:val="none"/>
                <w:lang w:val="en-US" w:eastAsia="zh-CN" w:bidi="ar"/>
              </w:rPr>
              <w:t>m</w:t>
            </w:r>
            <w:r>
              <w:rPr>
                <w:rFonts w:hint="default" w:ascii="Times New Roman" w:hAnsi="Times New Roman" w:eastAsia="宋体" w:cs="Times New Roman"/>
                <w:b w:val="0"/>
                <w:bCs w:val="0"/>
                <w:color w:val="auto"/>
                <w:kern w:val="0"/>
                <w:sz w:val="24"/>
                <w:szCs w:val="24"/>
                <w:highlight w:val="none"/>
                <w:vertAlign w:val="superscript"/>
                <w:lang w:val="en-US" w:eastAsia="zh-CN" w:bidi="ar"/>
              </w:rPr>
              <w:t>3</w:t>
            </w:r>
            <w:r>
              <w:rPr>
                <w:rFonts w:hint="default" w:ascii="Times New Roman" w:hAnsi="Times New Roman" w:eastAsia="宋体" w:cs="Times New Roman"/>
                <w:b w:val="0"/>
                <w:bCs w:val="0"/>
                <w:color w:val="auto"/>
                <w:kern w:val="0"/>
                <w:sz w:val="24"/>
                <w:szCs w:val="24"/>
                <w:highlight w:val="none"/>
                <w:lang w:val="en-US" w:eastAsia="zh-CN" w:bidi="ar"/>
              </w:rPr>
              <w:t>/d，生活污水经厂区旱厕堆肥后还田。</w:t>
            </w:r>
          </w:p>
          <w:p>
            <w:pPr>
              <w:pStyle w:val="2"/>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②生产废水：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混凝土用水全部进入产品，无废水产生；</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搅拌机清洗</w:t>
            </w:r>
            <w:r>
              <w:rPr>
                <w:rFonts w:hint="default" w:ascii="Times New Roman" w:hAnsi="Times New Roman" w:eastAsia="宋体" w:cs="Times New Roman"/>
                <w:b w:val="0"/>
                <w:bCs w:val="0"/>
                <w:color w:val="auto"/>
                <w:sz w:val="24"/>
                <w:szCs w:val="24"/>
                <w:highlight w:val="none"/>
                <w:lang w:val="en-US" w:eastAsia="zh-CN"/>
              </w:rPr>
              <w:t>废水按用水量的80％计，产生量为</w:t>
            </w:r>
            <w:r>
              <w:rPr>
                <w:rFonts w:hint="eastAsia" w:cs="Times New Roman"/>
                <w:b w:val="0"/>
                <w:bCs w:val="0"/>
                <w:color w:val="auto"/>
                <w:sz w:val="24"/>
                <w:szCs w:val="24"/>
                <w:highlight w:val="none"/>
                <w:lang w:val="en-US" w:eastAsia="zh-CN"/>
              </w:rPr>
              <w:t>1.6</w:t>
            </w:r>
            <w:r>
              <w:rPr>
                <w:rFonts w:hint="default" w:ascii="Times New Roman" w:hAnsi="Times New Roman" w:eastAsia="宋体" w:cs="Times New Roman"/>
                <w:b w:val="0"/>
                <w:bCs w:val="0"/>
                <w:color w:val="auto"/>
                <w:sz w:val="24"/>
                <w:szCs w:val="24"/>
                <w:highlight w:val="none"/>
                <w:lang w:val="en-US" w:eastAsia="zh-CN"/>
              </w:rPr>
              <w:t>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d</w:t>
            </w:r>
            <w:r>
              <w:rPr>
                <w:rFonts w:hint="default" w:ascii="Times New Roman" w:hAnsi="Times New Roman" w:eastAsia="宋体" w:cs="Times New Roman"/>
                <w:b w:val="0"/>
                <w:bCs w:val="0"/>
                <w:color w:val="auto"/>
                <w:sz w:val="24"/>
                <w:szCs w:val="24"/>
                <w:highlight w:val="none"/>
                <w:lang w:val="en-US" w:eastAsia="zh-CN"/>
              </w:rPr>
              <w:t>，经</w:t>
            </w:r>
            <w:r>
              <w:rPr>
                <w:rFonts w:hint="eastAsia" w:cs="Times New Roman"/>
                <w:b w:val="0"/>
                <w:bCs w:val="0"/>
                <w:color w:val="auto"/>
                <w:sz w:val="24"/>
                <w:szCs w:val="24"/>
                <w:highlight w:val="none"/>
                <w:lang w:val="en-US" w:eastAsia="zh-CN"/>
              </w:rPr>
              <w:t>10m</w:t>
            </w:r>
            <w:r>
              <w:rPr>
                <w:rFonts w:hint="eastAsia"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车辆冲洗废水按用水量的80％计，产生量为</w:t>
            </w:r>
            <w:r>
              <w:rPr>
                <w:rFonts w:hint="eastAsia" w:cs="Times New Roman"/>
                <w:b w:val="0"/>
                <w:bCs w:val="0"/>
                <w:color w:val="auto"/>
                <w:sz w:val="24"/>
                <w:szCs w:val="24"/>
                <w:highlight w:val="none"/>
                <w:lang w:val="en-US" w:eastAsia="zh-CN"/>
              </w:rPr>
              <w:t>0.89</w:t>
            </w:r>
            <w:r>
              <w:rPr>
                <w:rFonts w:hint="default" w:ascii="Times New Roman" w:hAnsi="Times New Roman" w:eastAsia="宋体" w:cs="Times New Roman"/>
                <w:b w:val="0"/>
                <w:bCs w:val="0"/>
                <w:color w:val="auto"/>
                <w:sz w:val="24"/>
                <w:szCs w:val="24"/>
                <w:highlight w:val="none"/>
                <w:lang w:val="en-US" w:eastAsia="zh-CN"/>
              </w:rPr>
              <w:t>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w:t>
            </w:r>
            <w:r>
              <w:rPr>
                <w:rFonts w:hint="eastAsia" w:cs="Times New Roman"/>
                <w:b w:val="0"/>
                <w:bCs w:val="0"/>
                <w:color w:val="auto"/>
                <w:sz w:val="24"/>
                <w:szCs w:val="24"/>
                <w:highlight w:val="none"/>
                <w:lang w:val="en-US" w:eastAsia="zh-CN"/>
              </w:rPr>
              <w:t>d</w:t>
            </w:r>
            <w:r>
              <w:rPr>
                <w:rFonts w:hint="default" w:ascii="Times New Roman" w:hAnsi="Times New Roman" w:eastAsia="宋体" w:cs="Times New Roman"/>
                <w:b w:val="0"/>
                <w:bCs w:val="0"/>
                <w:color w:val="auto"/>
                <w:sz w:val="24"/>
                <w:szCs w:val="24"/>
                <w:highlight w:val="none"/>
                <w:lang w:val="en-US" w:eastAsia="zh-CN"/>
              </w:rPr>
              <w:t>，经</w:t>
            </w:r>
            <w:r>
              <w:rPr>
                <w:rFonts w:hint="eastAsia" w:cs="Times New Roman"/>
                <w:b w:val="0"/>
                <w:bCs w:val="0"/>
                <w:color w:val="auto"/>
                <w:sz w:val="24"/>
                <w:szCs w:val="24"/>
                <w:highlight w:val="none"/>
                <w:lang w:val="en-US" w:eastAsia="zh-CN"/>
              </w:rPr>
              <w:t>10m</w:t>
            </w:r>
            <w:r>
              <w:rPr>
                <w:rFonts w:hint="eastAsia"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厂区道路降尘用水自然蒸发，无废水产生。</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4"/>
                <w:szCs w:val="24"/>
                <w:highlight w:val="none"/>
              </w:rPr>
              <w:t>本项目全厂水平衡分析见表2-</w:t>
            </w:r>
            <w:r>
              <w:rPr>
                <w:rFonts w:hint="default" w:ascii="Times New Roman" w:hAnsi="Times New Roman" w:eastAsia="宋体" w:cs="Times New Roman"/>
                <w:b w:val="0"/>
                <w:bCs w:val="0"/>
                <w:color w:val="auto"/>
                <w:sz w:val="24"/>
                <w:szCs w:val="24"/>
                <w:highlight w:val="none"/>
                <w:lang w:val="en-US" w:eastAsia="zh-CN"/>
              </w:rPr>
              <w:t>5</w:t>
            </w:r>
            <w:r>
              <w:rPr>
                <w:rFonts w:hint="default" w:ascii="Times New Roman" w:hAnsi="Times New Roman" w:eastAsia="宋体" w:cs="Times New Roman"/>
                <w:b w:val="0"/>
                <w:bCs w:val="0"/>
                <w:color w:val="auto"/>
                <w:sz w:val="24"/>
                <w:szCs w:val="24"/>
                <w:highlight w:val="none"/>
              </w:rPr>
              <w:t>，水平衡</w:t>
            </w:r>
            <w:r>
              <w:rPr>
                <w:rFonts w:hint="default" w:ascii="Times New Roman" w:hAnsi="Times New Roman" w:eastAsia="宋体" w:cs="Times New Roman"/>
                <w:b w:val="0"/>
                <w:bCs w:val="0"/>
                <w:color w:val="auto"/>
                <w:sz w:val="24"/>
                <w:szCs w:val="24"/>
                <w:highlight w:val="none"/>
                <w:lang w:val="en-US" w:eastAsia="zh-CN"/>
              </w:rPr>
              <w:t>关系</w:t>
            </w:r>
            <w:r>
              <w:rPr>
                <w:rFonts w:hint="default" w:ascii="Times New Roman" w:hAnsi="Times New Roman" w:eastAsia="宋体" w:cs="Times New Roman"/>
                <w:b w:val="0"/>
                <w:bCs w:val="0"/>
                <w:color w:val="auto"/>
                <w:sz w:val="24"/>
                <w:szCs w:val="24"/>
                <w:highlight w:val="none"/>
              </w:rPr>
              <w:t>见图</w:t>
            </w:r>
            <w:r>
              <w:rPr>
                <w:rFonts w:hint="default" w:ascii="Times New Roman" w:hAnsi="Times New Roman" w:eastAsia="宋体" w:cs="Times New Roman"/>
                <w:b w:val="0"/>
                <w:bCs w:val="0"/>
                <w:color w:val="auto"/>
                <w:sz w:val="24"/>
                <w:szCs w:val="24"/>
                <w:highlight w:val="none"/>
                <w:lang w:val="en-US" w:eastAsia="zh-CN"/>
              </w:rPr>
              <w:t>2-1</w:t>
            </w:r>
            <w:r>
              <w:rPr>
                <w:rFonts w:hint="default" w:ascii="Times New Roman" w:hAnsi="Times New Roman" w:eastAsia="宋体" w:cs="Times New Roman"/>
                <w:b w:val="0"/>
                <w:bCs w:val="0"/>
                <w:color w:val="auto"/>
                <w:sz w:val="24"/>
                <w:szCs w:val="24"/>
                <w:highlight w:val="none"/>
              </w:rPr>
              <w:t>。</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表2-5                       项目供排水情况一览表                 单位：m</w:t>
            </w:r>
            <w:r>
              <w:rPr>
                <w:rFonts w:hint="default" w:ascii="Times New Roman" w:hAnsi="Times New Roman" w:eastAsia="宋体" w:cs="Times New Roman"/>
                <w:b/>
                <w:bCs/>
                <w:color w:val="auto"/>
                <w:sz w:val="21"/>
                <w:szCs w:val="21"/>
                <w:highlight w:val="none"/>
                <w:vertAlign w:val="superscript"/>
                <w:lang w:val="en-US" w:eastAsia="zh-CN"/>
              </w:rPr>
              <w:t>3</w:t>
            </w:r>
            <w:r>
              <w:rPr>
                <w:rFonts w:hint="default" w:ascii="Times New Roman" w:hAnsi="Times New Roman" w:eastAsia="宋体" w:cs="Times New Roman"/>
                <w:b/>
                <w:bCs/>
                <w:color w:val="auto"/>
                <w:sz w:val="21"/>
                <w:szCs w:val="21"/>
                <w:highlight w:val="none"/>
                <w:lang w:val="en-US" w:eastAsia="zh-CN"/>
              </w:rPr>
              <w:t>/</w:t>
            </w:r>
            <w:r>
              <w:rPr>
                <w:rFonts w:hint="eastAsia" w:cs="Times New Roman"/>
                <w:b/>
                <w:bCs/>
                <w:color w:val="auto"/>
                <w:sz w:val="21"/>
                <w:szCs w:val="21"/>
                <w:highlight w:val="none"/>
                <w:lang w:val="en-US" w:eastAsia="zh-CN"/>
              </w:rPr>
              <w:t>d</w:t>
            </w:r>
          </w:p>
          <w:tbl>
            <w:tblPr>
              <w:tblStyle w:val="22"/>
              <w:tblW w:w="815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3"/>
              <w:gridCol w:w="1743"/>
              <w:gridCol w:w="876"/>
              <w:gridCol w:w="906"/>
              <w:gridCol w:w="921"/>
              <w:gridCol w:w="861"/>
              <w:gridCol w:w="1103"/>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334" w:type="pct"/>
                  <w:gridSpan w:val="2"/>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项目</w:t>
                  </w:r>
                </w:p>
              </w:tc>
              <w:tc>
                <w:tcPr>
                  <w:tcW w:w="1093"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入方</w:t>
                  </w:r>
                </w:p>
              </w:tc>
              <w:tc>
                <w:tcPr>
                  <w:tcW w:w="1769" w:type="pct"/>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出方</w:t>
                  </w:r>
                </w:p>
              </w:tc>
              <w:tc>
                <w:tcPr>
                  <w:tcW w:w="802" w:type="pct"/>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废水去向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4" w:type="pct"/>
                  <w:gridSpan w:val="2"/>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rPr>
                      <w:rFonts w:hint="default" w:ascii="Times New Roman" w:hAnsi="Times New Roman" w:eastAsia="宋体" w:cs="Times New Roman"/>
                      <w:b w:val="0"/>
                      <w:bCs w:val="0"/>
                      <w:i w:val="0"/>
                      <w:iCs w:val="0"/>
                      <w:color w:val="auto"/>
                      <w:sz w:val="21"/>
                      <w:szCs w:val="21"/>
                      <w:highlight w:val="none"/>
                      <w:u w:val="none"/>
                    </w:rPr>
                  </w:pPr>
                </w:p>
              </w:tc>
              <w:tc>
                <w:tcPr>
                  <w:tcW w:w="53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新鲜水</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回用水</w:t>
                  </w:r>
                </w:p>
              </w:tc>
              <w:tc>
                <w:tcPr>
                  <w:tcW w:w="564"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消耗量</w:t>
                  </w:r>
                </w:p>
              </w:tc>
              <w:tc>
                <w:tcPr>
                  <w:tcW w:w="52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回用水</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废水带走</w:t>
                  </w:r>
                </w:p>
              </w:tc>
              <w:tc>
                <w:tcPr>
                  <w:tcW w:w="802"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65" w:type="pct"/>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生产用水</w:t>
                  </w: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混凝土用水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eastAsia" w:cs="Times New Roman"/>
                      <w:b w:val="0"/>
                      <w:bCs w:val="0"/>
                      <w:color w:val="auto"/>
                      <w:sz w:val="21"/>
                      <w:szCs w:val="21"/>
                      <w:highlight w:val="none"/>
                      <w:vertAlign w:val="baseline"/>
                      <w:lang w:val="en-US" w:eastAsia="zh-CN"/>
                    </w:rPr>
                    <w:t>33.3</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eastAsia="zh-CN"/>
                    </w:rPr>
                  </w:pPr>
                  <w:r>
                    <w:rPr>
                      <w:rFonts w:hint="default" w:ascii="Times New Roman" w:hAnsi="Times New Roman" w:eastAsia="宋体" w:cs="Times New Roman"/>
                      <w:b w:val="0"/>
                      <w:bCs w:val="0"/>
                      <w:i w:val="0"/>
                      <w:iCs w:val="0"/>
                      <w:color w:val="auto"/>
                      <w:sz w:val="21"/>
                      <w:szCs w:val="21"/>
                      <w:highlight w:val="none"/>
                      <w:u w:val="none"/>
                      <w:lang w:eastAsia="zh-CN"/>
                    </w:rPr>
                    <w:t>/</w:t>
                  </w:r>
                </w:p>
              </w:tc>
              <w:tc>
                <w:tcPr>
                  <w:tcW w:w="921" w:type="dxa"/>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33.3</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
                    </w:rPr>
                  </w:pPr>
                  <w:r>
                    <w:rPr>
                      <w:rFonts w:hint="eastAsia" w:cs="Times New Roman"/>
                      <w:b w:val="0"/>
                      <w:bCs w:val="0"/>
                      <w:i w:val="0"/>
                      <w:iCs w:val="0"/>
                      <w:color w:val="auto"/>
                      <w:kern w:val="0"/>
                      <w:sz w:val="21"/>
                      <w:szCs w:val="21"/>
                      <w:highlight w:val="none"/>
                      <w:u w:val="none"/>
                      <w:lang w:val="en-US" w:eastAsia="zh-CN" w:bidi="ar"/>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kern w:val="0"/>
                      <w:sz w:val="21"/>
                      <w:szCs w:val="21"/>
                      <w:highlight w:val="none"/>
                      <w:u w:val="none"/>
                      <w:lang w:val="en-US" w:eastAsia="zh-CN" w:bidi="ar"/>
                    </w:rPr>
                  </w:pPr>
                  <w:r>
                    <w:rPr>
                      <w:rFonts w:hint="default" w:ascii="Times New Roman" w:hAnsi="Times New Roman" w:eastAsia="宋体" w:cs="Times New Roman"/>
                      <w:b w:val="0"/>
                      <w:bCs w:val="0"/>
                      <w:i w:val="0"/>
                      <w:iCs w:val="0"/>
                      <w:color w:val="auto"/>
                      <w:kern w:val="0"/>
                      <w:sz w:val="21"/>
                      <w:szCs w:val="21"/>
                      <w:highlight w:val="none"/>
                      <w:u w:val="none"/>
                      <w:lang w:val="en-US" w:eastAsia="zh-CN" w:bidi="ar"/>
                    </w:rPr>
                    <w:t>进入产品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搅拌机清洗用水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eastAsia" w:cs="Times New Roman"/>
                      <w:b w:val="0"/>
                      <w:bCs w:val="0"/>
                      <w:color w:val="auto"/>
                      <w:sz w:val="21"/>
                      <w:szCs w:val="21"/>
                      <w:highlight w:val="none"/>
                      <w:vertAlign w:val="baseline"/>
                      <w:lang w:val="en-US" w:eastAsia="zh-CN"/>
                    </w:rPr>
                    <w:t>2</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w:t>
                  </w:r>
                </w:p>
              </w:tc>
              <w:tc>
                <w:tcPr>
                  <w:tcW w:w="921" w:type="dxa"/>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0.4</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1.6</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车辆冲洗用水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eastAsia" w:cs="Times New Roman"/>
                      <w:b w:val="0"/>
                      <w:bCs w:val="0"/>
                      <w:color w:val="auto"/>
                      <w:sz w:val="21"/>
                      <w:szCs w:val="21"/>
                      <w:highlight w:val="none"/>
                      <w:vertAlign w:val="baseline"/>
                      <w:lang w:val="en-US" w:eastAsia="zh-CN"/>
                    </w:rPr>
                    <w:t>1.11</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w:t>
                  </w:r>
                </w:p>
              </w:tc>
              <w:tc>
                <w:tcPr>
                  <w:tcW w:w="921" w:type="dxa"/>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0.22</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0.89</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65" w:type="pct"/>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p>
              </w:tc>
              <w:tc>
                <w:tcPr>
                  <w:tcW w:w="1069"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kern w:val="2"/>
                      <w:sz w:val="21"/>
                      <w:szCs w:val="21"/>
                      <w:highlight w:val="none"/>
                      <w:vertAlign w:val="baseline"/>
                      <w:lang w:val="en-US" w:eastAsia="zh-CN" w:bidi="ar-SA"/>
                    </w:rPr>
                    <w:t>厂区道路洒水</w:t>
                  </w:r>
                </w:p>
              </w:tc>
              <w:tc>
                <w:tcPr>
                  <w:tcW w:w="537"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7.51</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2.49</w:t>
                  </w:r>
                </w:p>
              </w:tc>
              <w:tc>
                <w:tcPr>
                  <w:tcW w:w="921" w:type="dxa"/>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10</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自然蒸发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生活用水</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eastAsia" w:cs="Times New Roman"/>
                      <w:b w:val="0"/>
                      <w:bCs w:val="0"/>
                      <w:color w:val="auto"/>
                      <w:sz w:val="21"/>
                      <w:szCs w:val="21"/>
                      <w:highlight w:val="none"/>
                      <w:vertAlign w:val="baseline"/>
                      <w:lang w:val="en-US" w:eastAsia="zh-CN"/>
                    </w:rPr>
                    <w:t>1.4</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w:t>
                  </w:r>
                </w:p>
              </w:tc>
              <w:tc>
                <w:tcPr>
                  <w:tcW w:w="921" w:type="dxa"/>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0.28</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1.12</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堆肥后还田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vMerge w:val="restar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合计</w:t>
                  </w:r>
                </w:p>
              </w:tc>
              <w:tc>
                <w:tcPr>
                  <w:tcW w:w="537"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45.32</w:t>
                  </w:r>
                </w:p>
              </w:tc>
              <w:tc>
                <w:tcPr>
                  <w:tcW w:w="55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2.49</w:t>
                  </w:r>
                </w:p>
              </w:tc>
              <w:tc>
                <w:tcPr>
                  <w:tcW w:w="564"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44.3</w:t>
                  </w:r>
                </w:p>
              </w:tc>
              <w:tc>
                <w:tcPr>
                  <w:tcW w:w="528" w:type="pct"/>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2.49</w:t>
                  </w:r>
                </w:p>
              </w:tc>
              <w:tc>
                <w:tcPr>
                  <w:tcW w:w="676"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1.12</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34" w:type="pct"/>
                  <w:gridSpan w:val="2"/>
                  <w:vMerge w:val="continue"/>
                  <w:shd w:val="clear" w:color="auto" w:fill="auto"/>
                  <w:noWrap/>
                  <w:vAlign w:val="center"/>
                </w:tcPr>
                <w:p>
                  <w:pPr>
                    <w:numPr>
                      <w:ilvl w:val="0"/>
                      <w:numId w:val="0"/>
                    </w:numPr>
                    <w:ind w:left="0" w:leftChars="0" w:firstLine="0" w:firstLineChars="0"/>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p>
              </w:tc>
              <w:tc>
                <w:tcPr>
                  <w:tcW w:w="1093" w:type="pct"/>
                  <w:gridSpan w:val="2"/>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47.81</w:t>
                  </w:r>
                </w:p>
              </w:tc>
              <w:tc>
                <w:tcPr>
                  <w:tcW w:w="1769" w:type="pct"/>
                  <w:gridSpan w:val="3"/>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eastAsia" w:cs="Times New Roman"/>
                      <w:b w:val="0"/>
                      <w:bCs w:val="0"/>
                      <w:i w:val="0"/>
                      <w:iCs w:val="0"/>
                      <w:color w:val="auto"/>
                      <w:sz w:val="21"/>
                      <w:szCs w:val="21"/>
                      <w:highlight w:val="none"/>
                      <w:u w:val="none"/>
                      <w:lang w:val="en-US" w:eastAsia="zh-CN"/>
                    </w:rPr>
                    <w:t>47.81</w:t>
                  </w:r>
                </w:p>
              </w:tc>
              <w:tc>
                <w:tcPr>
                  <w:tcW w:w="8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center"/>
                    <w:rPr>
                      <w:rFonts w:hint="default" w:ascii="Times New Roman" w:hAnsi="Times New Roman" w:eastAsia="宋体" w:cs="Times New Roman"/>
                      <w:b w:val="0"/>
                      <w:bCs w:val="0"/>
                      <w:i w:val="0"/>
                      <w:iCs w:val="0"/>
                      <w:color w:val="auto"/>
                      <w:sz w:val="21"/>
                      <w:szCs w:val="21"/>
                      <w:highlight w:val="none"/>
                      <w:u w:val="none"/>
                      <w:lang w:val="en-US" w:eastAsia="zh-CN"/>
                    </w:rPr>
                  </w:pPr>
                  <w:r>
                    <w:rPr>
                      <w:rFonts w:hint="default" w:ascii="Times New Roman" w:hAnsi="Times New Roman" w:eastAsia="宋体" w:cs="Times New Roman"/>
                      <w:b w:val="0"/>
                      <w:bCs w:val="0"/>
                      <w:i w:val="0"/>
                      <w:iCs w:val="0"/>
                      <w:color w:val="auto"/>
                      <w:sz w:val="21"/>
                      <w:szCs w:val="21"/>
                      <w:highlight w:val="none"/>
                      <w:u w:val="none"/>
                      <w:lang w:val="en-US" w:eastAsia="zh-CN"/>
                    </w:rPr>
                    <w:t>/</w:t>
                  </w:r>
                </w:p>
              </w:tc>
            </w:tr>
          </w:tbl>
          <w:p>
            <w:pPr>
              <w:pStyle w:val="2"/>
              <w:keepNext w:val="0"/>
              <w:keepLines w:val="0"/>
              <w:pageBreakBefore w:val="0"/>
              <w:widowControl/>
              <w:kinsoku/>
              <w:wordWrap/>
              <w:overflowPunct/>
              <w:topLinePunct w:val="0"/>
              <w:autoSpaceDE/>
              <w:autoSpaceDN/>
              <w:bidi w:val="0"/>
              <w:adjustRightInd w:val="0"/>
              <w:snapToGrid w:val="0"/>
              <w:spacing w:line="360" w:lineRule="auto"/>
              <w:ind w:left="0" w:leftChars="0" w:firstLine="0" w:firstLine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b w:val="0"/>
                <w:bCs w:val="0"/>
                <w:color w:val="auto"/>
                <w:highlight w:val="none"/>
                <w:lang w:val="en-US" w:eastAsia="zh-CN"/>
              </w:rPr>
              <w:object>
                <v:shape id="_x0000_i1025" o:spt="75" type="#_x0000_t75" style="height:241.8pt;width:352pt;" o:ole="t" filled="f" o:preferrelative="t" stroked="f" coordsize="21600,21600">
                  <v:path/>
                  <v:fill on="f" focussize="0,0"/>
                  <v:stroke on="f"/>
                  <v:imagedata r:id="rId11" o:title=""/>
                  <o:lock v:ext="edit" aspectratio="t"/>
                  <w10:wrap type="none"/>
                  <w10:anchorlock/>
                </v:shape>
                <o:OLEObject Type="Embed" ProgID="Visio.Drawing.15" ShapeID="_x0000_i1025" DrawAspect="Content" ObjectID="_1468075725" r:id="rId10">
                  <o:LockedField>false</o:LockedField>
                </o:OLEObject>
              </w:objec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b/>
                <w:bCs/>
                <w:color w:val="auto"/>
                <w:sz w:val="24"/>
                <w:szCs w:val="32"/>
                <w:highlight w:val="none"/>
                <w:lang w:val="en-US" w:eastAsia="zh-CN"/>
              </w:rPr>
              <w:t>图2-1  水平衡关系图（单位：m</w:t>
            </w:r>
            <w:r>
              <w:rPr>
                <w:rFonts w:hint="default" w:ascii="Times New Roman" w:hAnsi="Times New Roman" w:eastAsia="宋体" w:cs="Times New Roman"/>
                <w:b/>
                <w:bCs/>
                <w:color w:val="auto"/>
                <w:sz w:val="24"/>
                <w:szCs w:val="32"/>
                <w:highlight w:val="none"/>
                <w:vertAlign w:val="superscript"/>
                <w:lang w:val="en-US" w:eastAsia="zh-CN"/>
              </w:rPr>
              <w:t>3</w:t>
            </w:r>
            <w:r>
              <w:rPr>
                <w:rFonts w:hint="default" w:ascii="Times New Roman" w:hAnsi="Times New Roman" w:eastAsia="宋体" w:cs="Times New Roman"/>
                <w:b/>
                <w:bCs/>
                <w:color w:val="auto"/>
                <w:sz w:val="24"/>
                <w:szCs w:val="32"/>
                <w:highlight w:val="none"/>
                <w:lang w:val="en-US" w:eastAsia="zh-CN"/>
              </w:rPr>
              <w:t>/</w:t>
            </w:r>
            <w:r>
              <w:rPr>
                <w:rFonts w:hint="eastAsia" w:cs="Times New Roman"/>
                <w:b/>
                <w:bCs/>
                <w:color w:val="auto"/>
                <w:sz w:val="24"/>
                <w:szCs w:val="32"/>
                <w:highlight w:val="none"/>
                <w:lang w:val="en-US" w:eastAsia="zh-CN"/>
              </w:rPr>
              <w:t>d</w:t>
            </w:r>
            <w:r>
              <w:rPr>
                <w:rFonts w:hint="default" w:ascii="Times New Roman" w:hAnsi="Times New Roman" w:eastAsia="宋体" w:cs="Times New Roman"/>
                <w:b/>
                <w:bCs/>
                <w:color w:val="auto"/>
                <w:sz w:val="24"/>
                <w:szCs w:val="32"/>
                <w:highlight w:val="none"/>
                <w:lang w:val="en-US" w:eastAsia="zh-CN"/>
              </w:rPr>
              <w:t>）</w:t>
            </w:r>
          </w:p>
          <w:p>
            <w:pPr>
              <w:pStyle w:val="2"/>
              <w:keepNext w:val="0"/>
              <w:keepLines w:val="0"/>
              <w:pageBreakBefore w:val="0"/>
              <w:numPr>
                <w:ilvl w:val="0"/>
                <w:numId w:val="3"/>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供电</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本项目生产用电由中卫市沙坡头区</w:t>
            </w:r>
            <w:r>
              <w:rPr>
                <w:rFonts w:hint="eastAsia" w:cs="Times New Roman"/>
                <w:color w:val="auto"/>
                <w:sz w:val="24"/>
                <w:szCs w:val="24"/>
                <w:lang w:val="en-US" w:eastAsia="zh-CN"/>
              </w:rPr>
              <w:t>永康镇</w:t>
            </w:r>
            <w:r>
              <w:rPr>
                <w:rFonts w:hint="default" w:ascii="Times New Roman" w:hAnsi="Times New Roman" w:eastAsia="宋体" w:cs="Times New Roman"/>
                <w:color w:val="auto"/>
                <w:sz w:val="24"/>
                <w:szCs w:val="24"/>
                <w:lang w:val="en-US" w:eastAsia="zh-CN"/>
              </w:rPr>
              <w:t>电网提供</w:t>
            </w:r>
            <w:r>
              <w:rPr>
                <w:rFonts w:hint="eastAsia" w:cs="Times New Roman"/>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劳动定员与工作制度</w:t>
            </w:r>
          </w:p>
          <w:p>
            <w:pPr>
              <w:pStyle w:val="2"/>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highlight w:val="yellow"/>
                <w:lang w:val="en-US" w:eastAsia="zh-CN"/>
              </w:rPr>
            </w:pPr>
            <w:r>
              <w:rPr>
                <w:rFonts w:hint="default" w:ascii="Times New Roman" w:hAnsi="Times New Roman" w:eastAsia="宋体" w:cs="Times New Roman"/>
                <w:color w:val="auto"/>
                <w:sz w:val="24"/>
                <w:szCs w:val="24"/>
                <w:lang w:val="en-US" w:eastAsia="zh-CN"/>
              </w:rPr>
              <w:t>项目劳动定员</w:t>
            </w:r>
            <w:r>
              <w:rPr>
                <w:rFonts w:hint="eastAsia" w:cs="Times New Roman"/>
                <w:color w:val="auto"/>
                <w:sz w:val="24"/>
                <w:szCs w:val="24"/>
                <w:lang w:val="en-US" w:eastAsia="zh-CN"/>
              </w:rPr>
              <w:t>20</w:t>
            </w:r>
            <w:r>
              <w:rPr>
                <w:rFonts w:hint="default" w:ascii="Times New Roman" w:hAnsi="Times New Roman" w:eastAsia="宋体" w:cs="Times New Roman"/>
                <w:color w:val="auto"/>
                <w:sz w:val="24"/>
                <w:szCs w:val="24"/>
                <w:lang w:val="en-US" w:eastAsia="zh-CN"/>
              </w:rPr>
              <w:t>人，每日工作</w:t>
            </w:r>
            <w:r>
              <w:rPr>
                <w:rFonts w:hint="eastAsia" w:cs="Times New Roman"/>
                <w:color w:val="auto"/>
                <w:sz w:val="24"/>
                <w:szCs w:val="24"/>
                <w:lang w:val="en-US" w:eastAsia="zh-CN"/>
              </w:rPr>
              <w:t>12</w:t>
            </w:r>
            <w:r>
              <w:rPr>
                <w:rFonts w:hint="default" w:ascii="Times New Roman" w:hAnsi="Times New Roman" w:eastAsia="宋体" w:cs="Times New Roman"/>
                <w:color w:val="auto"/>
                <w:sz w:val="24"/>
                <w:szCs w:val="24"/>
                <w:lang w:val="en-US" w:eastAsia="zh-CN"/>
              </w:rPr>
              <w:t>小时，</w:t>
            </w:r>
            <w:r>
              <w:rPr>
                <w:rFonts w:hint="eastAsia" w:cs="Times New Roman"/>
                <w:color w:val="auto"/>
                <w:sz w:val="24"/>
                <w:szCs w:val="24"/>
                <w:lang w:val="en-US" w:eastAsia="zh-CN"/>
              </w:rPr>
              <w:t>共计450天，根据七星渠1标段工程实际混凝土需求，工作天数及时长有所调整。</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厂区总平面布置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本项目租用</w:t>
            </w:r>
            <w:r>
              <w:rPr>
                <w:rFonts w:hint="eastAsia" w:cs="Times New Roman"/>
                <w:color w:val="auto"/>
                <w:kern w:val="0"/>
                <w:sz w:val="24"/>
                <w:szCs w:val="24"/>
                <w:lang w:val="en-US" w:eastAsia="zh-CN" w:bidi="ar"/>
              </w:rPr>
              <w:t>宁夏中卫富贵养牛厂</w:t>
            </w:r>
            <w:r>
              <w:rPr>
                <w:rFonts w:hint="default" w:ascii="Times New Roman" w:hAnsi="Times New Roman" w:eastAsia="宋体" w:cs="Times New Roman"/>
                <w:color w:val="auto"/>
                <w:kern w:val="0"/>
                <w:sz w:val="24"/>
                <w:szCs w:val="24"/>
                <w:lang w:val="en-US" w:eastAsia="zh-CN" w:bidi="ar"/>
              </w:rPr>
              <w:t>现有厂区</w:t>
            </w:r>
            <w:r>
              <w:rPr>
                <w:rFonts w:hint="eastAsia" w:cs="Times New Roman"/>
                <w:color w:val="auto"/>
                <w:kern w:val="0"/>
                <w:sz w:val="24"/>
                <w:szCs w:val="24"/>
                <w:lang w:val="en-US" w:eastAsia="zh-CN" w:bidi="ar"/>
              </w:rPr>
              <w:t>东</w:t>
            </w:r>
            <w:r>
              <w:rPr>
                <w:rFonts w:hint="default" w:ascii="Times New Roman" w:hAnsi="Times New Roman" w:eastAsia="宋体" w:cs="Times New Roman"/>
                <w:color w:val="auto"/>
                <w:kern w:val="0"/>
                <w:sz w:val="24"/>
                <w:szCs w:val="24"/>
                <w:lang w:val="en-US" w:eastAsia="zh-CN" w:bidi="ar"/>
              </w:rPr>
              <w:t>侧，分为生产区和办公区，生产区位于厂区</w:t>
            </w:r>
            <w:r>
              <w:rPr>
                <w:rFonts w:hint="eastAsia" w:cs="Times New Roman"/>
                <w:color w:val="auto"/>
                <w:kern w:val="0"/>
                <w:sz w:val="24"/>
                <w:szCs w:val="24"/>
                <w:lang w:val="en-US" w:eastAsia="zh-CN" w:bidi="ar"/>
              </w:rPr>
              <w:t>南</w:t>
            </w:r>
            <w:r>
              <w:rPr>
                <w:rFonts w:hint="default" w:ascii="Times New Roman" w:hAnsi="Times New Roman" w:eastAsia="宋体" w:cs="Times New Roman"/>
                <w:color w:val="auto"/>
                <w:kern w:val="0"/>
                <w:sz w:val="24"/>
                <w:szCs w:val="24"/>
                <w:lang w:val="en-US" w:eastAsia="zh-CN" w:bidi="ar"/>
              </w:rPr>
              <w:t>侧，办公区位于</w:t>
            </w:r>
            <w:r>
              <w:rPr>
                <w:rFonts w:hint="eastAsia" w:cs="Times New Roman"/>
                <w:color w:val="auto"/>
                <w:kern w:val="0"/>
                <w:sz w:val="24"/>
                <w:szCs w:val="24"/>
                <w:lang w:val="en-US" w:eastAsia="zh-CN" w:bidi="ar"/>
              </w:rPr>
              <w:t>北</w:t>
            </w:r>
            <w:r>
              <w:rPr>
                <w:rFonts w:hint="default" w:ascii="Times New Roman" w:hAnsi="Times New Roman" w:eastAsia="宋体" w:cs="Times New Roman"/>
                <w:color w:val="auto"/>
                <w:kern w:val="0"/>
                <w:sz w:val="24"/>
                <w:szCs w:val="24"/>
                <w:lang w:val="en-US" w:eastAsia="zh-CN" w:bidi="ar"/>
              </w:rPr>
              <w:t>侧靠近</w:t>
            </w:r>
            <w:r>
              <w:rPr>
                <w:rFonts w:hint="eastAsia" w:cs="Times New Roman"/>
                <w:color w:val="auto"/>
                <w:kern w:val="0"/>
                <w:sz w:val="24"/>
                <w:szCs w:val="24"/>
                <w:lang w:val="en-US" w:eastAsia="zh-CN" w:bidi="ar"/>
              </w:rPr>
              <w:t>盐中线</w:t>
            </w:r>
            <w:r>
              <w:rPr>
                <w:rFonts w:hint="default" w:ascii="Times New Roman" w:hAnsi="Times New Roman" w:eastAsia="宋体" w:cs="Times New Roman"/>
                <w:color w:val="auto"/>
                <w:kern w:val="0"/>
                <w:sz w:val="24"/>
                <w:szCs w:val="24"/>
                <w:lang w:val="en-US" w:eastAsia="zh-CN" w:bidi="ar"/>
              </w:rPr>
              <w:t>。厂区内建筑及设施设备依据生产工艺流程（原料运输车辆→</w:t>
            </w:r>
            <w:r>
              <w:rPr>
                <w:rFonts w:hint="eastAsia" w:cs="Times New Roman"/>
                <w:color w:val="auto"/>
                <w:kern w:val="0"/>
                <w:sz w:val="24"/>
                <w:szCs w:val="24"/>
                <w:lang w:val="en-US" w:eastAsia="zh-CN" w:bidi="ar"/>
              </w:rPr>
              <w:t>原料仓</w:t>
            </w:r>
            <w:r>
              <w:rPr>
                <w:rFonts w:hint="default" w:ascii="Times New Roman" w:hAnsi="Times New Roman" w:eastAsia="宋体" w:cs="Times New Roman"/>
                <w:color w:val="auto"/>
                <w:kern w:val="0"/>
                <w:sz w:val="24"/>
                <w:szCs w:val="24"/>
                <w:lang w:val="en-US" w:eastAsia="zh-CN" w:bidi="ar"/>
              </w:rPr>
              <w:t>→铲车上料→搅拌→成品→取样检测）南北走向布置，按功能可分为搅拌区、原料储存区及其他区域。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highlight w:val="yellow"/>
                <w:lang w:val="en-US" w:eastAsia="zh-CN" w:bidi="ar"/>
              </w:rPr>
            </w:pPr>
            <w:r>
              <w:rPr>
                <w:rFonts w:hint="default" w:ascii="Times New Roman" w:hAnsi="Times New Roman" w:eastAsia="宋体" w:cs="Times New Roman"/>
                <w:color w:val="auto"/>
                <w:kern w:val="0"/>
                <w:sz w:val="24"/>
                <w:szCs w:val="24"/>
                <w:lang w:val="en-US" w:eastAsia="zh-CN" w:bidi="ar"/>
              </w:rPr>
              <w:t>厂区总平面布置从工艺角度考虑，形成环形流通结构，尽可能缩短工艺路线，减少厂内物料运输距离，从而减少成本和运输粉尘带来的大气环境污染。按照运行便捷和有序管理的原则进行平面布置，各功能区分区明确，互不干扰；运输线路及管线布置短捷，结构紧凑；主要生产设备集中，办公区位于生产区的侧风向，因此从环保角度考虑，本项目的平面布局合理可行。项目厂区平面布置见图</w:t>
            </w:r>
            <w:r>
              <w:rPr>
                <w:rFonts w:hint="default" w:ascii="Times New Roman" w:hAnsi="Times New Roman" w:eastAsia="宋体" w:cs="Times New Roman"/>
                <w:b w:val="0"/>
                <w:bCs w:val="0"/>
                <w:color w:val="auto"/>
                <w:kern w:val="0"/>
                <w:sz w:val="24"/>
                <w:szCs w:val="24"/>
                <w:highlight w:val="none"/>
                <w:lang w:val="en-US" w:eastAsia="zh-CN" w:bidi="ar"/>
              </w:rPr>
              <w:t>2-2。</w:t>
            </w:r>
          </w:p>
          <w:p>
            <w:pPr>
              <w:pStyle w:val="6"/>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default" w:ascii="Times New Roman" w:hAnsi="Times New Roman" w:eastAsia="宋体" w:cs="Times New Roman"/>
                <w:b/>
                <w:bCs/>
                <w:color w:val="auto"/>
                <w:kern w:val="0"/>
                <w:sz w:val="24"/>
                <w:szCs w:val="24"/>
                <w:highlight w:val="none"/>
                <w:lang w:val="en-US" w:eastAsia="zh-CN" w:bidi="ar"/>
              </w:rPr>
            </w:pPr>
            <w:r>
              <w:rPr>
                <w:rFonts w:hint="default" w:ascii="Times New Roman" w:hAnsi="Times New Roman" w:eastAsia="宋体" w:cs="Times New Roman"/>
                <w:b/>
                <w:bCs/>
                <w:color w:val="auto"/>
                <w:kern w:val="0"/>
                <w:sz w:val="24"/>
                <w:szCs w:val="24"/>
                <w:highlight w:val="none"/>
                <w:lang w:val="en-US" w:eastAsia="zh-CN" w:bidi="ar"/>
              </w:rPr>
              <w:object>
                <v:shape id="_x0000_i1026" o:spt="75" type="#_x0000_t75" style="height:248.85pt;width:339.45pt;" o:ole="t" filled="f" o:preferrelative="t" stroked="f" coordsize="21600,21600">
                  <v:path/>
                  <v:fill on="f" focussize="0,0"/>
                  <v:stroke on="f"/>
                  <v:imagedata r:id="rId13" o:title=""/>
                  <o:lock v:ext="edit" aspectratio="t"/>
                  <w10:wrap type="none"/>
                  <w10:anchorlock/>
                </v:shape>
                <o:OLEObject Type="Embed" ProgID="Visio.Drawing.15" ShapeID="_x0000_i1026" DrawAspect="Content" ObjectID="_1468075726" r:id="rId12">
                  <o:LockedField>false</o:LockedField>
                </o:OLEObject>
              </w:object>
            </w:r>
          </w:p>
          <w:p>
            <w:pPr>
              <w:pStyle w:val="6"/>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bidi="ar"/>
              </w:rPr>
              <w:t>图2-2  厂区平面布置图</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环保投资</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本项目总投资</w:t>
            </w:r>
            <w:r>
              <w:rPr>
                <w:rFonts w:hint="eastAsia" w:cs="Times New Roman"/>
                <w:color w:val="auto"/>
                <w:kern w:val="0"/>
                <w:sz w:val="24"/>
                <w:szCs w:val="24"/>
                <w:highlight w:val="none"/>
                <w:lang w:val="en-US" w:eastAsia="zh-CN" w:bidi="ar"/>
              </w:rPr>
              <w:t>420</w:t>
            </w:r>
            <w:r>
              <w:rPr>
                <w:rFonts w:hint="default" w:ascii="Times New Roman" w:hAnsi="Times New Roman" w:eastAsia="宋体" w:cs="Times New Roman"/>
                <w:color w:val="auto"/>
                <w:kern w:val="0"/>
                <w:sz w:val="24"/>
                <w:szCs w:val="24"/>
                <w:highlight w:val="none"/>
                <w:lang w:val="en-US" w:eastAsia="zh-CN" w:bidi="ar"/>
              </w:rPr>
              <w:t>万元，环保投资</w:t>
            </w:r>
            <w:r>
              <w:rPr>
                <w:rFonts w:hint="eastAsia" w:cs="Times New Roman"/>
                <w:color w:val="auto"/>
                <w:kern w:val="0"/>
                <w:sz w:val="24"/>
                <w:szCs w:val="24"/>
                <w:highlight w:val="none"/>
                <w:lang w:val="en-US" w:eastAsia="zh-CN" w:bidi="ar"/>
              </w:rPr>
              <w:t>19.8</w:t>
            </w:r>
            <w:r>
              <w:rPr>
                <w:rFonts w:hint="default" w:ascii="Times New Roman" w:hAnsi="Times New Roman" w:eastAsia="宋体" w:cs="Times New Roman"/>
                <w:color w:val="auto"/>
                <w:kern w:val="0"/>
                <w:sz w:val="24"/>
                <w:szCs w:val="24"/>
                <w:highlight w:val="none"/>
                <w:lang w:val="en-US" w:eastAsia="zh-CN" w:bidi="ar"/>
              </w:rPr>
              <w:t>万元，环保投资占总投资</w:t>
            </w:r>
            <w:r>
              <w:rPr>
                <w:rFonts w:hint="eastAsia" w:cs="Times New Roman"/>
                <w:color w:val="auto"/>
                <w:kern w:val="0"/>
                <w:sz w:val="24"/>
                <w:szCs w:val="24"/>
                <w:highlight w:val="none"/>
                <w:lang w:val="en-US" w:eastAsia="zh-CN" w:bidi="ar"/>
              </w:rPr>
              <w:t>4.71</w:t>
            </w:r>
            <w:r>
              <w:rPr>
                <w:rFonts w:hint="default" w:ascii="Times New Roman" w:hAnsi="Times New Roman" w:eastAsia="宋体" w:cs="Times New Roman"/>
                <w:color w:val="auto"/>
                <w:kern w:val="0"/>
                <w:sz w:val="24"/>
                <w:szCs w:val="24"/>
                <w:highlight w:val="none"/>
                <w:lang w:val="en-US" w:eastAsia="zh-CN" w:bidi="ar"/>
              </w:rPr>
              <w:t>％。环保投资具体情况见表2-6。</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表2-6  环保投资概算表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25"/>
              <w:gridCol w:w="956"/>
              <w:gridCol w:w="4300"/>
              <w:gridCol w:w="1081"/>
              <w:gridCol w:w="10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0" w:type="dxa"/>
                  <w:bottom w:w="0" w:type="dxa"/>
                  <w:right w:w="0" w:type="dxa"/>
                </w:tblCellMar>
              </w:tblPrEx>
              <w:trPr>
                <w:trHeight w:val="23" w:hRule="atLeast"/>
                <w:jc w:val="center"/>
              </w:trPr>
              <w:tc>
                <w:tcPr>
                  <w:tcW w:w="725" w:type="dxa"/>
                  <w:tcBorders>
                    <w:tl2br w:val="nil"/>
                  </w:tcBorders>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阶段</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项目</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内容</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费用</w:t>
                  </w:r>
                </w:p>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（万元）</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所占比例</w:t>
                  </w:r>
                </w:p>
                <w:p>
                  <w:pPr>
                    <w:pStyle w:val="6"/>
                    <w:spacing w:before="0" w:after="0" w:line="240" w:lineRule="auto"/>
                    <w:jc w:val="center"/>
                    <w:rPr>
                      <w:rFonts w:hint="default" w:ascii="Times New Roman" w:hAnsi="Times New Roman" w:eastAsia="宋体" w:cs="Times New Roman"/>
                      <w:b/>
                      <w:bCs w:val="0"/>
                      <w:color w:val="auto"/>
                      <w:kern w:val="2"/>
                      <w:sz w:val="21"/>
                      <w:szCs w:val="21"/>
                    </w:rPr>
                  </w:pPr>
                  <w:r>
                    <w:rPr>
                      <w:rFonts w:hint="eastAsia" w:ascii="Times New Roman" w:hAnsi="Times New Roman" w:eastAsia="宋体" w:cs="Times New Roman"/>
                      <w:b/>
                      <w:bCs w:val="0"/>
                      <w:color w:val="auto"/>
                      <w:kern w:val="2"/>
                      <w:sz w:val="21"/>
                      <w:szCs w:val="21"/>
                      <w:lang w:eastAsia="zh-CN"/>
                    </w:rPr>
                    <w:t>（</w:t>
                  </w:r>
                  <w:r>
                    <w:rPr>
                      <w:rFonts w:hint="default" w:ascii="Times New Roman" w:hAnsi="Times New Roman" w:eastAsia="宋体" w:cs="Times New Roman"/>
                      <w:b/>
                      <w:bCs w:val="0"/>
                      <w:color w:val="auto"/>
                      <w:kern w:val="2"/>
                      <w:sz w:val="21"/>
                      <w:szCs w:val="21"/>
                    </w:rPr>
                    <w:t>%</w:t>
                  </w:r>
                  <w:r>
                    <w:rPr>
                      <w:rFonts w:hint="eastAsia" w:ascii="Times New Roman" w:hAnsi="Times New Roman" w:eastAsia="宋体" w:cs="Times New Roman"/>
                      <w:b/>
                      <w:bCs w:val="0"/>
                      <w:color w:val="auto"/>
                      <w:kern w:val="2"/>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施工期</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废水</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设置</w:t>
                  </w:r>
                  <w:r>
                    <w:rPr>
                      <w:rFonts w:hint="eastAsia" w:cs="Times New Roman"/>
                      <w:b w:val="0"/>
                      <w:color w:val="auto"/>
                      <w:sz w:val="21"/>
                      <w:szCs w:val="21"/>
                      <w:lang w:val="en-US" w:eastAsia="zh-CN"/>
                    </w:rPr>
                    <w:t>10m</w:t>
                  </w:r>
                  <w:r>
                    <w:rPr>
                      <w:rFonts w:hint="eastAsia" w:cs="Times New Roman"/>
                      <w:b w:val="0"/>
                      <w:color w:val="auto"/>
                      <w:sz w:val="21"/>
                      <w:szCs w:val="21"/>
                      <w:vertAlign w:val="superscript"/>
                      <w:lang w:val="en-US" w:eastAsia="zh-CN"/>
                    </w:rPr>
                    <w:t>3</w:t>
                  </w:r>
                  <w:r>
                    <w:rPr>
                      <w:rFonts w:hint="default" w:ascii="Times New Roman" w:hAnsi="Times New Roman" w:eastAsia="宋体" w:cs="Times New Roman"/>
                      <w:b w:val="0"/>
                      <w:color w:val="auto"/>
                      <w:sz w:val="21"/>
                      <w:szCs w:val="21"/>
                      <w:vertAlign w:val="baseline"/>
                      <w:lang w:val="en-US" w:eastAsia="zh-CN"/>
                    </w:rPr>
                    <w:t>临时沉淀池</w:t>
                  </w:r>
                </w:p>
              </w:tc>
              <w:tc>
                <w:tcPr>
                  <w:tcW w:w="1081" w:type="dxa"/>
                  <w:shd w:val="clear" w:color="auto" w:fill="auto"/>
                  <w:noWrap w:val="0"/>
                  <w:vAlign w:val="center"/>
                </w:tcPr>
                <w:p>
                  <w:pPr>
                    <w:adjustRightInd w:val="0"/>
                    <w:snapToGrid w:val="0"/>
                    <w:jc w:val="center"/>
                    <w:rPr>
                      <w:rFonts w:hint="eastAsia" w:ascii="Times New Roman" w:hAnsi="Times New Roman" w:eastAsia="宋体" w:cs="Times New Roman"/>
                      <w:b w:val="0"/>
                      <w:color w:val="auto"/>
                      <w:sz w:val="21"/>
                      <w:szCs w:val="21"/>
                      <w:lang w:eastAsia="zh-CN"/>
                    </w:rPr>
                  </w:pPr>
                  <w:r>
                    <w:rPr>
                      <w:rFonts w:hint="eastAsia"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废气</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施工场地洒水降尘；施工材料及运输物资采用苫布覆盖；</w:t>
                  </w:r>
                </w:p>
              </w:tc>
              <w:tc>
                <w:tcPr>
                  <w:tcW w:w="1081" w:type="dxa"/>
                  <w:shd w:val="clear" w:color="auto" w:fill="auto"/>
                  <w:noWrap w:val="0"/>
                  <w:vAlign w:val="center"/>
                </w:tcPr>
                <w:p>
                  <w:pPr>
                    <w:adjustRightInd w:val="0"/>
                    <w:snapToGrid w:val="0"/>
                    <w:jc w:val="center"/>
                    <w:rPr>
                      <w:rFonts w:hint="eastAsia" w:ascii="Times New Roman" w:hAnsi="Times New Roman" w:eastAsia="宋体" w:cs="Times New Roman"/>
                      <w:b w:val="0"/>
                      <w:color w:val="auto"/>
                      <w:sz w:val="21"/>
                      <w:szCs w:val="21"/>
                      <w:lang w:eastAsia="zh-CN"/>
                    </w:rPr>
                  </w:pPr>
                  <w:r>
                    <w:rPr>
                      <w:rFonts w:hint="eastAsia"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5.05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声环境</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选用低噪声设备</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固体废物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建筑垃圾运至政府指定地点，运输车辆加盖苫布。</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5.05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运营期</w:t>
                  </w: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废水</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沿</w:t>
                  </w:r>
                  <w:r>
                    <w:rPr>
                      <w:rFonts w:hint="default" w:ascii="Times New Roman" w:hAnsi="Times New Roman" w:eastAsia="宋体" w:cs="Times New Roman"/>
                      <w:b w:val="0"/>
                      <w:color w:val="auto"/>
                      <w:sz w:val="21"/>
                      <w:szCs w:val="21"/>
                      <w:lang w:val="en-US" w:eastAsia="zh-CN"/>
                    </w:rPr>
                    <w:t>用</w:t>
                  </w:r>
                  <w:r>
                    <w:rPr>
                      <w:rFonts w:hint="eastAsia" w:cs="Times New Roman"/>
                      <w:b w:val="0"/>
                      <w:color w:val="auto"/>
                      <w:sz w:val="21"/>
                      <w:szCs w:val="21"/>
                      <w:lang w:val="en-US" w:eastAsia="zh-CN"/>
                    </w:rPr>
                    <w:t>10m</w:t>
                  </w:r>
                  <w:r>
                    <w:rPr>
                      <w:rFonts w:hint="eastAsia" w:cs="Times New Roman"/>
                      <w:b w:val="0"/>
                      <w:color w:val="auto"/>
                      <w:sz w:val="21"/>
                      <w:szCs w:val="21"/>
                      <w:vertAlign w:val="superscript"/>
                      <w:lang w:val="en-US" w:eastAsia="zh-CN"/>
                    </w:rPr>
                    <w:t>3</w:t>
                  </w:r>
                  <w:r>
                    <w:rPr>
                      <w:rFonts w:hint="default" w:ascii="Times New Roman" w:hAnsi="Times New Roman" w:eastAsia="宋体" w:cs="Times New Roman"/>
                      <w:b w:val="0"/>
                      <w:color w:val="auto"/>
                      <w:sz w:val="21"/>
                      <w:szCs w:val="21"/>
                      <w:lang w:val="en-US" w:eastAsia="zh-CN"/>
                    </w:rPr>
                    <w:t>临时沉淀池；</w:t>
                  </w:r>
                  <w:r>
                    <w:rPr>
                      <w:rFonts w:hint="eastAsia" w:cs="Times New Roman"/>
                      <w:b w:val="0"/>
                      <w:color w:val="auto"/>
                      <w:sz w:val="21"/>
                      <w:szCs w:val="21"/>
                      <w:lang w:val="en-US" w:eastAsia="zh-CN"/>
                    </w:rPr>
                    <w:t>设置旱厕。</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restart"/>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废气</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配料机顶部设置</w:t>
                  </w:r>
                  <w:r>
                    <w:rPr>
                      <w:rFonts w:hint="default" w:ascii="Times New Roman" w:hAnsi="Times New Roman" w:eastAsia="宋体" w:cs="Times New Roman"/>
                      <w:b w:val="0"/>
                      <w:bCs w:val="0"/>
                      <w:color w:val="auto"/>
                      <w:kern w:val="2"/>
                      <w:sz w:val="21"/>
                      <w:szCs w:val="21"/>
                      <w:lang w:val="en-US" w:eastAsia="zh-CN" w:bidi="ar-SA"/>
                    </w:rPr>
                    <w:t>防静电挡尘帘</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0.4</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2.02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搅拌机配套布袋除尘机</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水泥、粉煤灰筒仓顶部配套</w:t>
                  </w:r>
                  <w:r>
                    <w:rPr>
                      <w:rFonts w:hint="eastAsia" w:cs="Times New Roman"/>
                      <w:b w:val="0"/>
                      <w:bCs w:val="0"/>
                      <w:color w:val="auto"/>
                      <w:kern w:val="2"/>
                      <w:sz w:val="21"/>
                      <w:szCs w:val="21"/>
                      <w:lang w:val="en-US" w:eastAsia="zh-CN" w:bidi="ar-SA"/>
                    </w:rPr>
                    <w:t>脉冲袋式除尘机</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2</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eastAsia"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物料采取防尘网全覆盖措施</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5.05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定期洒水降尘，设置洗车平台，运输物料采用苫布覆盖。</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5.05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噪声</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bCs w:val="0"/>
                      <w:color w:val="auto"/>
                      <w:sz w:val="21"/>
                      <w:szCs w:val="21"/>
                      <w:vertAlign w:val="baseline"/>
                      <w:lang w:val="en-US" w:eastAsia="zh-CN"/>
                    </w:rPr>
                    <w:t>选择低噪声设备，采取隔声、基础减振等措施</w:t>
                  </w: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eastAsia="zh-CN"/>
                    </w:rPr>
                  </w:pPr>
                  <w:r>
                    <w:rPr>
                      <w:rFonts w:hint="default" w:ascii="Times New Roman" w:hAnsi="Times New Roman" w:eastAsia="宋体" w:cs="Times New Roman"/>
                      <w:b w:val="0"/>
                      <w:color w:val="auto"/>
                      <w:sz w:val="21"/>
                      <w:szCs w:val="21"/>
                      <w:lang w:val="en-US" w:eastAsia="zh-CN"/>
                    </w:rPr>
                    <w:t>5</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25.25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固体废物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厂区设置2个垃圾桶，安排人员定期清运至附近垃圾转运点。</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0.1</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25" w:type="dxa"/>
                  <w:vMerge w:val="continue"/>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p>
              </w:tc>
              <w:tc>
                <w:tcPr>
                  <w:tcW w:w="956"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环境风险</w:t>
                  </w:r>
                </w:p>
              </w:tc>
              <w:tc>
                <w:tcPr>
                  <w:tcW w:w="4300"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配备消防设施，安排专人定期检查环保设备运行管理情况。</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0.3</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981" w:type="dxa"/>
                  <w:gridSpan w:val="3"/>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合计</w:t>
                  </w:r>
                </w:p>
              </w:tc>
              <w:tc>
                <w:tcPr>
                  <w:tcW w:w="1081"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19.8</w:t>
                  </w:r>
                </w:p>
              </w:tc>
              <w:tc>
                <w:tcPr>
                  <w:tcW w:w="1087" w:type="dxa"/>
                  <w:shd w:val="clear" w:color="auto" w:fill="auto"/>
                  <w:noWrap w:val="0"/>
                  <w:vAlign w:val="center"/>
                </w:tcPr>
                <w:p>
                  <w:pPr>
                    <w:adjustRightInd w:val="0"/>
                    <w:snapToGrid w:val="0"/>
                    <w:jc w:val="center"/>
                    <w:rPr>
                      <w:rFonts w:hint="default" w:ascii="Times New Roman" w:hAnsi="Times New Roman" w:eastAsia="宋体" w:cs="Times New Roman"/>
                      <w:b w:val="0"/>
                      <w:color w:val="auto"/>
                      <w:sz w:val="21"/>
                      <w:szCs w:val="21"/>
                      <w:lang w:val="en-US" w:eastAsia="zh-CN"/>
                    </w:rPr>
                  </w:pPr>
                  <w:r>
                    <w:rPr>
                      <w:rFonts w:hint="eastAsia" w:cs="Times New Roman"/>
                      <w:b w:val="0"/>
                      <w:color w:val="auto"/>
                      <w:sz w:val="21"/>
                      <w:szCs w:val="21"/>
                      <w:lang w:val="en-US" w:eastAsia="zh-CN"/>
                    </w:rPr>
                    <w:t>100</w:t>
                  </w:r>
                </w:p>
              </w:tc>
            </w:tr>
          </w:tbl>
          <w:p>
            <w:pPr>
              <w:rPr>
                <w:rFonts w:hint="default"/>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90" w:hRule="atLeast"/>
          <w:jc w:val="center"/>
        </w:trPr>
        <w:tc>
          <w:tcPr>
            <w:tcW w:w="583" w:type="dxa"/>
            <w:noWrap w:val="0"/>
            <w:vAlign w:val="center"/>
          </w:tcPr>
          <w:p>
            <w:pPr>
              <w:pStyle w:val="13"/>
              <w:adjustRightInd w:val="0"/>
              <w:snapToGrid w:val="0"/>
              <w:ind w:left="0" w:leftChars="0"/>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工艺流程和产排污环节</w:t>
            </w:r>
          </w:p>
        </w:tc>
        <w:tc>
          <w:tcPr>
            <w:tcW w:w="8365" w:type="dxa"/>
            <w:noWrap w:val="0"/>
            <w:vAlign w:val="top"/>
          </w:tcPr>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rPr>
            </w:pPr>
            <w:r>
              <w:rPr>
                <w:rFonts w:hint="default" w:ascii="Times New Roman" w:hAnsi="Times New Roman" w:eastAsia="宋体" w:cs="Times New Roman"/>
                <w:b/>
                <w:bCs/>
                <w:snapToGrid w:val="0"/>
                <w:color w:val="auto"/>
                <w:kern w:val="0"/>
                <w:sz w:val="24"/>
                <w:szCs w:val="24"/>
                <w:highlight w:val="none"/>
              </w:rPr>
              <w:t>施工期工艺流程及产污环节</w:t>
            </w:r>
          </w:p>
          <w:p>
            <w:pPr>
              <w:keepNext w:val="0"/>
              <w:keepLines w:val="0"/>
              <w:pageBreakBefore w:val="0"/>
              <w:widowControl w:val="0"/>
              <w:numPr>
                <w:ilvl w:val="0"/>
                <w:numId w:val="5"/>
              </w:numPr>
              <w:tabs>
                <w:tab w:val="left" w:pos="2430"/>
              </w:tabs>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rPr>
            </w:pPr>
            <w:r>
              <w:rPr>
                <w:rFonts w:hint="default" w:ascii="Times New Roman" w:hAnsi="Times New Roman" w:eastAsia="宋体" w:cs="Times New Roman"/>
                <w:b/>
                <w:bCs/>
                <w:color w:val="auto"/>
                <w:sz w:val="24"/>
                <w:szCs w:val="24"/>
                <w:vertAlign w:val="baseline"/>
                <w:lang w:val="en-US" w:eastAsia="zh-CN"/>
              </w:rPr>
              <w:t>施工工艺流程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项目施工期工程量小，施工时间较短，施工期间场地平整、基础工程、主体工程、设备安装等工序产生少量的废气、废水、噪声、固体废物等污染物。项目施工期工艺流程及产污情况见图2-3：</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color w:val="auto"/>
                <w:sz w:val="24"/>
                <w:szCs w:val="24"/>
                <w:highlight w:val="none"/>
              </w:rPr>
              <w:object>
                <v:shape id="_x0000_i1027" o:spt="75" type="#_x0000_t75" style="height:91.75pt;width:412.25pt;" o:ole="t" filled="f" o:preferrelative="t" stroked="f" coordsize="21600,21600">
                  <v:path/>
                  <v:fill on="f" focussize="0,0"/>
                  <v:stroke on="f"/>
                  <v:imagedata r:id="rId15" o:title=""/>
                  <o:lock v:ext="edit" aspectratio="f"/>
                  <w10:wrap type="none"/>
                  <w10:anchorlock/>
                </v:shape>
                <o:OLEObject Type="Embed" ProgID="Visio.Drawing.15" ShapeID="_x0000_i1027" DrawAspect="Content" ObjectID="_1468075727" r:id="rId14">
                  <o:LockedField>false</o:LockedField>
                </o:OLEObject>
              </w:object>
            </w:r>
            <w:r>
              <w:rPr>
                <w:rFonts w:hint="default" w:ascii="Times New Roman" w:hAnsi="Times New Roman" w:eastAsia="宋体" w:cs="Times New Roman"/>
                <w:b/>
                <w:bCs/>
                <w:color w:val="auto"/>
                <w:sz w:val="24"/>
                <w:szCs w:val="24"/>
                <w:highlight w:val="none"/>
                <w:lang w:val="en-US" w:eastAsia="zh-CN"/>
              </w:rPr>
              <w:t>图2-3  工艺流程及产污环节示意图</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（2）施工期主要污染源分析</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①废气：</w:t>
            </w:r>
            <w:r>
              <w:rPr>
                <w:rFonts w:hint="default" w:ascii="Times New Roman" w:hAnsi="Times New Roman" w:eastAsia="宋体" w:cs="Times New Roman"/>
                <w:color w:val="auto"/>
                <w:kern w:val="0"/>
                <w:sz w:val="24"/>
                <w:szCs w:val="24"/>
                <w:lang w:val="en-US" w:eastAsia="zh-CN" w:bidi="ar"/>
              </w:rPr>
              <w:t>主要为开挖、回填、堆土及石灰、水泥等装卸、运输、搅拌过程中的扬尘；施工中运输车辆产生的扬尘；运输车辆、施工机械及动力设备排出的尾气；施工机械在作业带上行驶以及施工便道建筑等引起的扬尘。主要污染因子为TSP、HC、NO</w:t>
            </w:r>
            <w:r>
              <w:rPr>
                <w:rFonts w:hint="default" w:ascii="Times New Roman" w:hAnsi="Times New Roman" w:eastAsia="宋体" w:cs="Times New Roman"/>
                <w:color w:val="auto"/>
                <w:kern w:val="0"/>
                <w:sz w:val="24"/>
                <w:szCs w:val="24"/>
                <w:vertAlign w:val="subscript"/>
                <w:lang w:val="en-US" w:eastAsia="zh-CN" w:bidi="ar"/>
              </w:rPr>
              <w:t>X</w:t>
            </w:r>
            <w:r>
              <w:rPr>
                <w:rFonts w:hint="default" w:ascii="Times New Roman" w:hAnsi="Times New Roman" w:eastAsia="宋体" w:cs="Times New Roman"/>
                <w:color w:val="auto"/>
                <w:kern w:val="0"/>
                <w:sz w:val="24"/>
                <w:szCs w:val="24"/>
                <w:lang w:val="en-US" w:eastAsia="zh-CN" w:bidi="ar"/>
              </w:rPr>
              <w:t>、CO等。</w:t>
            </w:r>
          </w:p>
          <w:p>
            <w:pPr>
              <w:pStyle w:val="16"/>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②废水：</w:t>
            </w:r>
            <w:r>
              <w:rPr>
                <w:rFonts w:hint="default" w:ascii="Times New Roman" w:hAnsi="Times New Roman" w:eastAsia="宋体" w:cs="Times New Roman"/>
                <w:color w:val="auto"/>
                <w:kern w:val="0"/>
                <w:sz w:val="24"/>
                <w:szCs w:val="24"/>
                <w:lang w:val="en-US" w:eastAsia="zh-CN" w:bidi="ar"/>
              </w:rPr>
              <w:t>主要来源于施工人员生活污水及施工过程中混凝土养护废水及机械设备清洗废水。废水中主要污染因子为COD、BOD</w:t>
            </w:r>
            <w:r>
              <w:rPr>
                <w:rFonts w:hint="default" w:ascii="Times New Roman" w:hAnsi="Times New Roman" w:eastAsia="宋体" w:cs="Times New Roman"/>
                <w:color w:val="auto"/>
                <w:kern w:val="0"/>
                <w:sz w:val="24"/>
                <w:szCs w:val="24"/>
                <w:vertAlign w:val="subscript"/>
                <w:lang w:val="en-US" w:eastAsia="zh-CN" w:bidi="ar"/>
              </w:rPr>
              <w:t>5</w:t>
            </w:r>
            <w:r>
              <w:rPr>
                <w:rFonts w:hint="default" w:ascii="Times New Roman" w:hAnsi="Times New Roman" w:eastAsia="宋体" w:cs="Times New Roman"/>
                <w:color w:val="auto"/>
                <w:kern w:val="0"/>
                <w:sz w:val="24"/>
                <w:szCs w:val="24"/>
                <w:lang w:val="en-US" w:eastAsia="zh-CN" w:bidi="ar"/>
              </w:rPr>
              <w:t>、SS、氨氮、总磷、总氮、石油类等。</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③噪声：</w:t>
            </w:r>
            <w:r>
              <w:rPr>
                <w:rFonts w:hint="default" w:ascii="Times New Roman" w:hAnsi="Times New Roman" w:eastAsia="宋体" w:cs="Times New Roman"/>
                <w:color w:val="auto"/>
                <w:kern w:val="0"/>
                <w:sz w:val="24"/>
                <w:szCs w:val="24"/>
                <w:lang w:val="en-US" w:eastAsia="zh-CN" w:bidi="ar"/>
              </w:rPr>
              <w:t>施工期噪声主要来自各类施工机械及运输车辆，为非稳态噪声，持续时间短。</w:t>
            </w:r>
          </w:p>
          <w:p>
            <w:pPr>
              <w:pStyle w:val="16"/>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④固体废物：</w:t>
            </w:r>
            <w:r>
              <w:rPr>
                <w:rFonts w:hint="default" w:ascii="Times New Roman" w:hAnsi="Times New Roman" w:eastAsia="宋体" w:cs="Times New Roman"/>
                <w:color w:val="auto"/>
                <w:kern w:val="0"/>
                <w:sz w:val="24"/>
                <w:szCs w:val="24"/>
                <w:lang w:val="en-US" w:eastAsia="zh-CN" w:bidi="ar"/>
              </w:rPr>
              <w:t>施工期产生的固体废物主要有三类，一是开挖剥离的土石方，二是施工过程产生的建筑垃圾，三是施工人员的生活垃圾。建筑垃圾包括基地开挖时产生的废弃土方、混凝土浇筑过程中的漏浆、填充墙砌筑时洒落的砂浆、建材废包装、建材的废边角料等。</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4"/>
                <w:highlight w:val="none"/>
                <w:lang w:val="en-US" w:eastAsia="zh-CN"/>
              </w:rPr>
            </w:pPr>
            <w:r>
              <w:rPr>
                <w:rFonts w:hint="default" w:ascii="Times New Roman" w:hAnsi="Times New Roman" w:eastAsia="宋体" w:cs="Times New Roman"/>
                <w:b/>
                <w:bCs/>
                <w:snapToGrid w:val="0"/>
                <w:color w:val="auto"/>
                <w:kern w:val="0"/>
                <w:sz w:val="24"/>
                <w:szCs w:val="24"/>
                <w:highlight w:val="none"/>
              </w:rPr>
              <w:t>2、运营期工艺流程</w:t>
            </w:r>
            <w:r>
              <w:rPr>
                <w:rFonts w:hint="default" w:ascii="Times New Roman" w:hAnsi="Times New Roman" w:eastAsia="宋体" w:cs="Times New Roman"/>
                <w:b/>
                <w:bCs/>
                <w:snapToGrid w:val="0"/>
                <w:color w:val="auto"/>
                <w:kern w:val="0"/>
                <w:sz w:val="24"/>
                <w:szCs w:val="24"/>
                <w:highlight w:val="none"/>
                <w:lang w:val="en-US" w:eastAsia="zh-CN"/>
              </w:rPr>
              <w:t>及产污环节</w:t>
            </w:r>
          </w:p>
          <w:p>
            <w:pPr>
              <w:keepNext w:val="0"/>
              <w:keepLines w:val="0"/>
              <w:pageBreakBefore w:val="0"/>
              <w:widowControl/>
              <w:shd w:val="clea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lang w:val="en-US" w:eastAsia="zh-CN"/>
              </w:rPr>
              <w:t>本项目运营周期内采用水泥、水洗砂及不同规格的碎石等为原料，在搅拌机内混合搅拌制成混凝土，</w:t>
            </w:r>
            <w:r>
              <w:rPr>
                <w:rFonts w:hint="default" w:ascii="Times New Roman" w:hAnsi="Times New Roman" w:eastAsia="宋体" w:cs="Times New Roman"/>
                <w:color w:val="auto"/>
                <w:sz w:val="24"/>
                <w:szCs w:val="24"/>
                <w:highlight w:val="none"/>
                <w:vertAlign w:val="baseline"/>
                <w:lang w:val="en-US" w:eastAsia="zh-CN"/>
              </w:rPr>
              <w:t>共计</w:t>
            </w:r>
            <w:r>
              <w:rPr>
                <w:rFonts w:hint="eastAsia" w:cs="Times New Roman"/>
                <w:color w:val="auto"/>
                <w:sz w:val="24"/>
                <w:szCs w:val="24"/>
                <w:highlight w:val="none"/>
                <w:vertAlign w:val="baseline"/>
                <w:lang w:val="en-US" w:eastAsia="zh-CN"/>
              </w:rPr>
              <w:t>10万m</w:t>
            </w:r>
            <w:r>
              <w:rPr>
                <w:rFonts w:hint="eastAsia" w:cs="Times New Roman"/>
                <w:color w:val="auto"/>
                <w:sz w:val="24"/>
                <w:szCs w:val="24"/>
                <w:highlight w:val="none"/>
                <w:vertAlign w:val="superscript"/>
                <w:lang w:val="en-US" w:eastAsia="zh-CN"/>
              </w:rPr>
              <w:t>3</w:t>
            </w:r>
            <w:r>
              <w:rPr>
                <w:rFonts w:hint="default" w:ascii="Times New Roman" w:hAnsi="Times New Roman" w:eastAsia="宋体" w:cs="Times New Roman"/>
                <w:color w:val="auto"/>
                <w:sz w:val="24"/>
                <w:szCs w:val="24"/>
                <w:highlight w:val="none"/>
                <w:vertAlign w:val="baseline"/>
                <w:lang w:val="en-US" w:eastAsia="zh-CN"/>
              </w:rPr>
              <w:t>。混凝土生产工艺流程及产污环节见图2-4。</w:t>
            </w:r>
          </w:p>
          <w:p>
            <w:pPr>
              <w:pStyle w:val="21"/>
              <w:keepNext w:val="0"/>
              <w:keepLines w:val="0"/>
              <w:pageBreakBefore w:val="0"/>
              <w:widowControl w:val="0"/>
              <w:numPr>
                <w:ilvl w:val="0"/>
                <w:numId w:val="6"/>
              </w:numPr>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混凝土生产工艺流程简述：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val="0"/>
                <w:bCs w:val="0"/>
                <w:color w:val="auto"/>
                <w:sz w:val="24"/>
                <w:szCs w:val="24"/>
                <w:highlight w:val="none"/>
                <w:lang w:val="en-US" w:eastAsia="zh-CN"/>
              </w:rPr>
              <w:t>①原料堆存：</w:t>
            </w:r>
            <w:r>
              <w:rPr>
                <w:rFonts w:hint="default" w:ascii="Times New Roman" w:hAnsi="Times New Roman" w:eastAsia="宋体" w:cs="Times New Roman"/>
                <w:color w:val="auto"/>
                <w:kern w:val="0"/>
                <w:sz w:val="24"/>
                <w:szCs w:val="24"/>
                <w:lang w:val="en-US" w:eastAsia="zh-CN" w:bidi="ar"/>
              </w:rPr>
              <w:t>外购原料，运输进厂后分区储存。其中，碎石和水洗砂堆存在苫布覆盖的</w:t>
            </w:r>
            <w:r>
              <w:rPr>
                <w:rFonts w:hint="eastAsia" w:cs="Times New Roman"/>
                <w:color w:val="auto"/>
                <w:kern w:val="0"/>
                <w:sz w:val="24"/>
                <w:szCs w:val="24"/>
                <w:lang w:val="en-US" w:eastAsia="zh-CN" w:bidi="ar"/>
              </w:rPr>
              <w:t>原料仓</w:t>
            </w:r>
            <w:r>
              <w:rPr>
                <w:rFonts w:hint="default" w:ascii="Times New Roman" w:hAnsi="Times New Roman" w:eastAsia="宋体" w:cs="Times New Roman"/>
                <w:color w:val="auto"/>
                <w:kern w:val="0"/>
                <w:sz w:val="24"/>
                <w:szCs w:val="24"/>
                <w:lang w:val="en-US" w:eastAsia="zh-CN" w:bidi="ar"/>
              </w:rPr>
              <w:t>内；粉煤灰和水泥存储在各自密闭筒仓内；碎石和水洗砂</w:t>
            </w:r>
            <w:r>
              <w:rPr>
                <w:rFonts w:hint="default" w:ascii="Times New Roman" w:hAnsi="Times New Roman" w:eastAsia="宋体" w:cs="Times New Roman"/>
                <w:color w:val="auto"/>
                <w:sz w:val="24"/>
                <w:szCs w:val="24"/>
                <w:lang w:val="en-US" w:eastAsia="zh-CN"/>
              </w:rPr>
              <w:t>堆存过程有粉尘产生。</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bidi="ar"/>
              </w:rPr>
              <w:t>②骨料计量输送系统</w:t>
            </w:r>
            <w:r>
              <w:rPr>
                <w:rFonts w:hint="default" w:ascii="Times New Roman" w:hAnsi="Times New Roman" w:eastAsia="宋体" w:cs="Times New Roman"/>
                <w:color w:val="auto"/>
                <w:sz w:val="24"/>
                <w:szCs w:val="24"/>
                <w:lang w:val="en-US" w:eastAsia="zh-CN"/>
              </w:rPr>
              <w:t>：不同规格的石料和水洗砂由铲车送至配料机储料仓内，骨料通过自动控制的气缸卸入</w:t>
            </w:r>
            <w:r>
              <w:rPr>
                <w:rFonts w:hint="eastAsia" w:cs="Times New Roman"/>
                <w:color w:val="auto"/>
                <w:sz w:val="24"/>
                <w:szCs w:val="24"/>
                <w:lang w:val="en-US" w:eastAsia="zh-CN"/>
              </w:rPr>
              <w:t>称量斗</w:t>
            </w:r>
            <w:r>
              <w:rPr>
                <w:rFonts w:hint="default" w:ascii="Times New Roman" w:hAnsi="Times New Roman" w:eastAsia="宋体" w:cs="Times New Roman"/>
                <w:color w:val="auto"/>
                <w:sz w:val="24"/>
                <w:szCs w:val="24"/>
                <w:lang w:val="en-US" w:eastAsia="zh-CN"/>
              </w:rPr>
              <w:t>中称量，由密闭皮带</w:t>
            </w:r>
            <w:r>
              <w:rPr>
                <w:rFonts w:hint="eastAsia" w:cs="Times New Roman"/>
                <w:color w:val="auto"/>
                <w:sz w:val="24"/>
                <w:szCs w:val="24"/>
                <w:lang w:val="en-US" w:eastAsia="zh-CN"/>
              </w:rPr>
              <w:t>机</w:t>
            </w:r>
            <w:r>
              <w:rPr>
                <w:rFonts w:hint="default" w:ascii="Times New Roman" w:hAnsi="Times New Roman" w:eastAsia="宋体" w:cs="Times New Roman"/>
                <w:color w:val="auto"/>
                <w:sz w:val="24"/>
                <w:szCs w:val="24"/>
                <w:lang w:val="en-US" w:eastAsia="zh-CN"/>
              </w:rPr>
              <w:t>输送至骨料中间仓。石料和水洗砂由铲车上料时产生粉尘和噪声。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③粉料供给计量系统：水泥和粉煤灰由螺旋输送机送</w:t>
            </w:r>
            <w:r>
              <w:rPr>
                <w:rFonts w:hint="default" w:ascii="Times New Roman" w:hAnsi="Times New Roman" w:eastAsia="宋体" w:cs="Times New Roman"/>
                <w:b w:val="0"/>
                <w:bCs w:val="0"/>
                <w:color w:val="auto"/>
                <w:kern w:val="2"/>
                <w:sz w:val="24"/>
                <w:szCs w:val="24"/>
                <w:lang w:val="en-US" w:eastAsia="zh-CN" w:bidi="ar-SA"/>
              </w:rPr>
              <w:t>至</w:t>
            </w:r>
            <w:r>
              <w:rPr>
                <w:rFonts w:hint="eastAsia" w:cs="Times New Roman"/>
                <w:b w:val="0"/>
                <w:bCs w:val="0"/>
                <w:color w:val="auto"/>
                <w:kern w:val="2"/>
                <w:sz w:val="24"/>
                <w:szCs w:val="24"/>
                <w:lang w:val="en-US" w:eastAsia="zh-CN" w:bidi="ar-SA"/>
              </w:rPr>
              <w:t>称量斗</w:t>
            </w:r>
            <w:r>
              <w:rPr>
                <w:rFonts w:hint="default" w:ascii="Times New Roman" w:hAnsi="Times New Roman" w:eastAsia="宋体" w:cs="Times New Roman"/>
                <w:b w:val="0"/>
                <w:bCs w:val="0"/>
                <w:color w:val="auto"/>
                <w:kern w:val="2"/>
                <w:sz w:val="24"/>
                <w:szCs w:val="24"/>
                <w:lang w:val="en-US" w:eastAsia="zh-CN" w:bidi="ar-SA"/>
              </w:rPr>
              <w:t>称量，达到称量要求时停止供料。水泥和粉煤灰输送过程伴有噪声。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④</w:t>
            </w:r>
            <w:r>
              <w:rPr>
                <w:rFonts w:hint="default" w:ascii="Times New Roman" w:hAnsi="Times New Roman" w:eastAsia="宋体" w:cs="Times New Roman"/>
                <w:b w:val="0"/>
                <w:bCs w:val="0"/>
                <w:color w:val="auto"/>
                <w:kern w:val="2"/>
                <w:sz w:val="24"/>
                <w:szCs w:val="24"/>
                <w:vertAlign w:val="baseline"/>
                <w:lang w:val="en-US" w:eastAsia="zh-CN" w:bidi="ar-SA"/>
              </w:rPr>
              <w:t>液体供给计量系统：</w:t>
            </w:r>
            <w:r>
              <w:rPr>
                <w:rFonts w:hint="default" w:ascii="Times New Roman" w:hAnsi="Times New Roman" w:eastAsia="宋体" w:cs="Times New Roman"/>
                <w:b w:val="0"/>
                <w:bCs w:val="0"/>
                <w:color w:val="auto"/>
                <w:kern w:val="2"/>
                <w:sz w:val="24"/>
                <w:szCs w:val="24"/>
                <w:lang w:val="en-US" w:eastAsia="zh-CN" w:bidi="ar-SA"/>
              </w:rPr>
              <w:t>水、外加剂分别由泵送至各自计量斗中配比称量。泵运行过程伴有噪声。</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⑤搅拌机搅拌：</w:t>
            </w:r>
            <w:r>
              <w:rPr>
                <w:rFonts w:hint="default" w:ascii="Times New Roman" w:hAnsi="Times New Roman" w:eastAsia="宋体" w:cs="Times New Roman"/>
                <w:color w:val="auto"/>
                <w:kern w:val="0"/>
                <w:sz w:val="24"/>
                <w:szCs w:val="24"/>
                <w:lang w:val="en-US" w:eastAsia="zh-CN" w:bidi="ar"/>
              </w:rPr>
              <w:t>进入搅拌机的石料、水洗砂、水泥、粉煤灰、水和外加剂进行充分混合搅拌，搅拌均匀后即为混凝土半成品，检验合格后由罐车在30min内运送至施工场地。混合搅拌过程有粉尘和噪声产生。</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color w:val="auto"/>
                <w:sz w:val="21"/>
                <w:szCs w:val="21"/>
                <w:vertAlign w:val="baseline"/>
                <w:lang w:val="en-US" w:eastAsia="zh-CN"/>
              </w:rPr>
              <w:object>
                <v:shape id="_x0000_i1028" o:spt="75" type="#_x0000_t75" style="height:225.5pt;width:418.3pt;" o:ole="t" filled="f" o:preferrelative="t" stroked="f" coordsize="21600,21600">
                  <v:path/>
                  <v:fill on="f" focussize="0,0"/>
                  <v:stroke on="f"/>
                  <v:imagedata r:id="rId17" o:title=""/>
                  <o:lock v:ext="edit" aspectratio="t"/>
                  <w10:wrap type="none"/>
                  <w10:anchorlock/>
                </v:shape>
                <o:OLEObject Type="Embed" ProgID="Visio.Drawing.15" ShapeID="_x0000_i1028" DrawAspect="Content" ObjectID="_1468075728" r:id="rId16">
                  <o:LockedField>false</o:LockedField>
                </o:OLEObject>
              </w:object>
            </w:r>
            <w:r>
              <w:rPr>
                <w:rFonts w:hint="default" w:ascii="Times New Roman" w:hAnsi="Times New Roman" w:eastAsia="宋体" w:cs="Times New Roman"/>
                <w:b/>
                <w:bCs/>
                <w:color w:val="auto"/>
                <w:sz w:val="24"/>
                <w:szCs w:val="24"/>
                <w:highlight w:val="none"/>
                <w:lang w:val="en-US" w:eastAsia="zh-CN"/>
              </w:rPr>
              <w:t>图2-4  生产工艺流程及产污环节示意图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（2）其他产污环节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废水：工作人员生活污水（W1）；车辆冲洗废水（W2）；搅拌机清洗废水（W3）；</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废气：汽车运输过程中产生的汽车尾气和道路扬尘（G6）；</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噪声：混凝土在罐车运输过程中产生的噪声（N）；</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固体废物：筒仓仓顶配套</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收集的粉尘（S1）、搅拌主机配套布袋除尘机收集的粉尘（S2）、废石料（S3）、搅拌残渣（S4）</w:t>
            </w:r>
            <w:r>
              <w:rPr>
                <w:rFonts w:hint="eastAsia"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职工人员产生的生活垃圾（S</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（7）污染影响因素分析</w:t>
            </w:r>
          </w:p>
          <w:p>
            <w:pPr>
              <w:pStyle w:val="21"/>
              <w:keepNext w:val="0"/>
              <w:keepLines w:val="0"/>
              <w:pageBreakBefore w:val="0"/>
              <w:kinsoku/>
              <w:wordWrap/>
              <w:overflowPunct/>
              <w:topLinePunct w:val="0"/>
              <w:autoSpaceDE/>
              <w:autoSpaceDN/>
              <w:bidi w:val="0"/>
              <w:adjustRightInd w:val="0"/>
              <w:snapToGrid w:val="0"/>
              <w:spacing w:after="0" w:line="360" w:lineRule="auto"/>
              <w:ind w:left="0" w:leftChars="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本项目产物环节及污染物排放方式汇总分析见表2-7。</w:t>
            </w:r>
          </w:p>
          <w:p>
            <w:pPr>
              <w:adjustRightInd w:val="0"/>
              <w:snapToGrid w:val="0"/>
              <w:jc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表2-</w:t>
            </w:r>
            <w:r>
              <w:rPr>
                <w:rFonts w:hint="default" w:ascii="Times New Roman" w:hAnsi="Times New Roman" w:eastAsia="宋体" w:cs="Times New Roman"/>
                <w:b/>
                <w:color w:val="auto"/>
                <w:sz w:val="21"/>
                <w:szCs w:val="21"/>
                <w:highlight w:val="none"/>
                <w:lang w:val="en-US" w:eastAsia="zh-CN"/>
              </w:rPr>
              <w:t>7</w:t>
            </w:r>
            <w:r>
              <w:rPr>
                <w:rFonts w:hint="default" w:ascii="Times New Roman" w:hAnsi="Times New Roman" w:eastAsia="宋体" w:cs="Times New Roman"/>
                <w:b/>
                <w:color w:val="auto"/>
                <w:sz w:val="21"/>
                <w:szCs w:val="21"/>
                <w:highlight w:val="none"/>
              </w:rPr>
              <w:t xml:space="preserve">  </w:t>
            </w:r>
            <w:r>
              <w:rPr>
                <w:rFonts w:hint="default" w:ascii="Times New Roman" w:hAnsi="Times New Roman" w:eastAsia="宋体" w:cs="Times New Roman"/>
                <w:b/>
                <w:color w:val="auto"/>
                <w:sz w:val="21"/>
                <w:szCs w:val="21"/>
                <w:highlight w:val="none"/>
                <w:lang w:val="en-US" w:eastAsia="zh-CN"/>
              </w:rPr>
              <w:t>项目</w:t>
            </w:r>
            <w:r>
              <w:rPr>
                <w:rFonts w:hint="default" w:ascii="Times New Roman" w:hAnsi="Times New Roman" w:eastAsia="宋体" w:cs="Times New Roman"/>
                <w:b/>
                <w:color w:val="auto"/>
                <w:sz w:val="21"/>
                <w:szCs w:val="21"/>
                <w:highlight w:val="none"/>
              </w:rPr>
              <w:t>产污环节</w:t>
            </w:r>
            <w:r>
              <w:rPr>
                <w:rFonts w:hint="default" w:ascii="Times New Roman" w:hAnsi="Times New Roman" w:eastAsia="宋体" w:cs="Times New Roman"/>
                <w:b/>
                <w:color w:val="auto"/>
                <w:sz w:val="21"/>
                <w:szCs w:val="21"/>
                <w:highlight w:val="none"/>
                <w:lang w:val="en-US" w:eastAsia="zh-CN"/>
              </w:rPr>
              <w:t>信息一览</w:t>
            </w:r>
            <w:r>
              <w:rPr>
                <w:rFonts w:hint="default" w:ascii="Times New Roman" w:hAnsi="Times New Roman" w:eastAsia="宋体" w:cs="Times New Roman"/>
                <w:b/>
                <w:color w:val="auto"/>
                <w:sz w:val="21"/>
                <w:szCs w:val="21"/>
                <w:highlight w:val="none"/>
              </w:rPr>
              <w:t>表</w:t>
            </w:r>
          </w:p>
          <w:tbl>
            <w:tblPr>
              <w:tblStyle w:val="22"/>
              <w:tblW w:w="815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4"/>
              <w:gridCol w:w="751"/>
              <w:gridCol w:w="2883"/>
              <w:gridCol w:w="2029"/>
              <w:gridCol w:w="2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类别</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编号</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产排污节点</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rPr>
                    <w:t>主要污染</w:t>
                  </w:r>
                  <w:r>
                    <w:rPr>
                      <w:rFonts w:hint="default" w:ascii="Times New Roman" w:hAnsi="Times New Roman" w:eastAsia="宋体" w:cs="Times New Roman"/>
                      <w:b/>
                      <w:bCs/>
                      <w:color w:val="auto"/>
                      <w:kern w:val="0"/>
                      <w:sz w:val="21"/>
                      <w:szCs w:val="21"/>
                      <w:highlight w:val="none"/>
                      <w:lang w:val="en-US" w:eastAsia="zh-CN"/>
                    </w:rPr>
                    <w:t>指标</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排放方式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废气</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rPr>
                    <w:t>原料仓</w:t>
                  </w:r>
                  <w:r>
                    <w:rPr>
                      <w:rFonts w:hint="default" w:ascii="Times New Roman" w:hAnsi="Times New Roman" w:eastAsia="宋体" w:cs="Times New Roman"/>
                      <w:color w:val="auto"/>
                      <w:kern w:val="0"/>
                      <w:sz w:val="21"/>
                      <w:szCs w:val="21"/>
                      <w:highlight w:val="none"/>
                      <w:lang w:val="en-US" w:eastAsia="zh-CN"/>
                    </w:rPr>
                    <w:t>粉尘</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2</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石料、水洗砂由铲车送至配料机</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3</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石料、水洗砂由皮带机送至骨料中间仓</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4</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水泥筒仓、粉煤灰筒仓呼吸口</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w:t>
                  </w:r>
                  <w:r>
                    <w:rPr>
                      <w:rFonts w:hint="eastAsia" w:cs="Times New Roman"/>
                      <w:color w:val="auto"/>
                      <w:kern w:val="0"/>
                      <w:sz w:val="21"/>
                      <w:szCs w:val="21"/>
                      <w:highlight w:val="none"/>
                      <w:lang w:val="en-US" w:eastAsia="zh-CN"/>
                    </w:rPr>
                    <w:t>5</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搅拌机搅拌</w:t>
                  </w:r>
                </w:p>
              </w:tc>
              <w:tc>
                <w:tcPr>
                  <w:tcW w:w="2029"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颗粒物</w:t>
                  </w:r>
                </w:p>
              </w:tc>
              <w:tc>
                <w:tcPr>
                  <w:tcW w:w="201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G6</w:t>
                  </w:r>
                </w:p>
              </w:tc>
              <w:tc>
                <w:tcPr>
                  <w:tcW w:w="2883" w:type="dxa"/>
                  <w:noWrap w:val="0"/>
                  <w:tcMar>
                    <w:top w:w="0" w:type="dxa"/>
                    <w:left w:w="0" w:type="dxa"/>
                    <w:bottom w:w="0" w:type="dxa"/>
                    <w:right w:w="0" w:type="dxa"/>
                  </w:tcMar>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车辆运输扬尘</w:t>
                  </w:r>
                </w:p>
              </w:tc>
              <w:tc>
                <w:tcPr>
                  <w:tcW w:w="2029"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颗粒物</w:t>
                  </w:r>
                </w:p>
              </w:tc>
              <w:tc>
                <w:tcPr>
                  <w:tcW w:w="2013"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废水</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val="en-US" w:eastAsia="zh-CN"/>
                    </w:rPr>
                    <w:t>生活污水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lang w:val="en-US" w:eastAsia="zh-CN"/>
                    </w:rPr>
                    <w:t>pH、SS、</w:t>
                  </w:r>
                  <w:r>
                    <w:rPr>
                      <w:rFonts w:hint="default" w:ascii="Times New Roman" w:hAnsi="Times New Roman" w:eastAsia="宋体" w:cs="Times New Roman"/>
                      <w:b w:val="0"/>
                      <w:bCs/>
                      <w:color w:val="auto"/>
                      <w:sz w:val="21"/>
                      <w:szCs w:val="21"/>
                      <w:lang w:val="en-US" w:eastAsia="zh-CN"/>
                    </w:rPr>
                    <w:t>COD</w:t>
                  </w:r>
                  <w:r>
                    <w:rPr>
                      <w:rFonts w:hint="default" w:ascii="Times New Roman" w:hAnsi="Times New Roman" w:eastAsia="宋体" w:cs="Times New Roman"/>
                      <w:b w:val="0"/>
                      <w:bCs/>
                      <w:color w:val="auto"/>
                      <w:sz w:val="21"/>
                      <w:szCs w:val="21"/>
                      <w:vertAlign w:val="subscript"/>
                      <w:lang w:val="en-US" w:eastAsia="zh-CN"/>
                    </w:rPr>
                    <w:t>Cr</w:t>
                  </w:r>
                  <w:r>
                    <w:rPr>
                      <w:rFonts w:hint="default" w:ascii="Times New Roman" w:hAnsi="Times New Roman" w:eastAsia="宋体" w:cs="Times New Roman"/>
                      <w:b w:val="0"/>
                      <w:bCs/>
                      <w:color w:val="auto"/>
                      <w:sz w:val="21"/>
                      <w:szCs w:val="21"/>
                      <w:lang w:val="en-US" w:eastAsia="zh-CN"/>
                    </w:rPr>
                    <w:t>、BOD</w:t>
                  </w:r>
                  <w:r>
                    <w:rPr>
                      <w:rFonts w:hint="default" w:ascii="Times New Roman" w:hAnsi="Times New Roman" w:eastAsia="宋体" w:cs="Times New Roman"/>
                      <w:b w:val="0"/>
                      <w:bCs/>
                      <w:color w:val="auto"/>
                      <w:sz w:val="21"/>
                      <w:szCs w:val="21"/>
                      <w:vertAlign w:val="subscript"/>
                      <w:lang w:val="en-US" w:eastAsia="zh-CN"/>
                    </w:rPr>
                    <w:t>5</w:t>
                  </w:r>
                  <w:r>
                    <w:rPr>
                      <w:rFonts w:hint="default" w:ascii="Times New Roman" w:hAnsi="Times New Roman" w:eastAsia="宋体" w:cs="Times New Roman"/>
                      <w:b w:val="0"/>
                      <w:bCs/>
                      <w:color w:val="auto"/>
                      <w:sz w:val="21"/>
                      <w:szCs w:val="21"/>
                      <w:lang w:val="en-US" w:eastAsia="zh-CN"/>
                    </w:rPr>
                    <w:t>、氨氮、动植物油</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旱厕堆肥后还田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751"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W2</w:t>
                  </w:r>
                </w:p>
              </w:tc>
              <w:tc>
                <w:tcPr>
                  <w:tcW w:w="288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车辆冲洗废水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SS</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回用于道路抑尘，不外排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7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W3</w:t>
                  </w:r>
                </w:p>
              </w:tc>
              <w:tc>
                <w:tcPr>
                  <w:tcW w:w="288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搅拌机清洗废水</w:t>
                  </w:r>
                </w:p>
              </w:tc>
              <w:tc>
                <w:tcPr>
                  <w:tcW w:w="2029"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SS</w:t>
                  </w:r>
                </w:p>
              </w:tc>
              <w:tc>
                <w:tcPr>
                  <w:tcW w:w="2013" w:type="dxa"/>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回用于道路抑尘，不外排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噪声</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N</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设备运行噪声</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等效连续</w:t>
                  </w:r>
                  <w:r>
                    <w:rPr>
                      <w:rFonts w:hint="default" w:ascii="Times New Roman" w:hAnsi="Times New Roman" w:eastAsia="宋体" w:cs="Times New Roman"/>
                      <w:color w:val="auto"/>
                      <w:kern w:val="0"/>
                      <w:sz w:val="21"/>
                      <w:szCs w:val="21"/>
                      <w:highlight w:val="none"/>
                      <w:lang w:val="en-US" w:eastAsia="zh-CN"/>
                    </w:rPr>
                    <w:t>/</w:t>
                  </w:r>
                  <w:r>
                    <w:rPr>
                      <w:rFonts w:hint="default" w:ascii="Times New Roman" w:hAnsi="Times New Roman" w:eastAsia="宋体" w:cs="Times New Roman"/>
                      <w:color w:val="auto"/>
                      <w:kern w:val="0"/>
                      <w:sz w:val="21"/>
                      <w:szCs w:val="21"/>
                      <w:highlight w:val="none"/>
                    </w:rPr>
                    <w:t>A声级</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间歇排放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固体废物</w:t>
                  </w: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S1</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脉冲袋式除尘机</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粉尘</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S2</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布袋除尘机</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粉尘</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S3</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废石料</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废石料</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原料仓</w:t>
                  </w:r>
                  <w:r>
                    <w:rPr>
                      <w:rFonts w:hint="default" w:ascii="Times New Roman" w:hAnsi="Times New Roman" w:eastAsia="宋体" w:cs="Times New Roman"/>
                      <w:color w:val="auto"/>
                      <w:kern w:val="0"/>
                      <w:sz w:val="21"/>
                      <w:szCs w:val="21"/>
                      <w:highlight w:val="none"/>
                      <w:lang w:val="en-US" w:eastAsia="zh-CN"/>
                    </w:rPr>
                    <w:t>暂存，由生产厂家拉运回原厂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S4</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成品出料</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拌合残渣</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收集后回用于生产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4"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rPr>
                  </w:pPr>
                </w:p>
              </w:tc>
              <w:tc>
                <w:tcPr>
                  <w:tcW w:w="751"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S</w:t>
                  </w:r>
                  <w:r>
                    <w:rPr>
                      <w:rFonts w:hint="eastAsia" w:cs="Times New Roman"/>
                      <w:color w:val="auto"/>
                      <w:kern w:val="0"/>
                      <w:sz w:val="21"/>
                      <w:szCs w:val="21"/>
                      <w:highlight w:val="none"/>
                      <w:lang w:val="en-US" w:eastAsia="zh-CN"/>
                    </w:rPr>
                    <w:t>5</w:t>
                  </w:r>
                </w:p>
              </w:tc>
              <w:tc>
                <w:tcPr>
                  <w:tcW w:w="288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生活垃圾</w:t>
                  </w:r>
                </w:p>
              </w:tc>
              <w:tc>
                <w:tcPr>
                  <w:tcW w:w="2029"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生活垃圾</w:t>
                  </w:r>
                </w:p>
              </w:tc>
              <w:tc>
                <w:tcPr>
                  <w:tcW w:w="2013" w:type="dxa"/>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垃圾桶收集后运至项目附近的垃圾转运点</w:t>
                  </w:r>
                </w:p>
              </w:tc>
            </w:tr>
          </w:tbl>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ind w:leftChars="200"/>
              <w:jc w:val="both"/>
              <w:textAlignment w:val="auto"/>
              <w:rPr>
                <w:rFonts w:hint="default" w:ascii="Times New Roman" w:hAnsi="Times New Roman" w:eastAsia="宋体" w:cs="Times New Roman"/>
                <w:b/>
                <w:b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13" w:type="dxa"/>
            <w:left w:w="108" w:type="dxa"/>
            <w:bottom w:w="113" w:type="dxa"/>
            <w:right w:w="108" w:type="dxa"/>
          </w:tblCellMar>
        </w:tblPrEx>
        <w:trPr>
          <w:trHeight w:val="2560" w:hRule="atLeast"/>
          <w:jc w:val="center"/>
        </w:trPr>
        <w:tc>
          <w:tcPr>
            <w:tcW w:w="8948" w:type="dxa"/>
            <w:gridSpan w:val="2"/>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rPr>
                <w:rFonts w:hint="default" w:ascii="Times New Roman" w:hAnsi="Times New Roman" w:eastAsia="宋体" w:cs="Times New Roman"/>
                <w:color w:val="auto"/>
                <w:kern w:val="0"/>
                <w:sz w:val="24"/>
                <w:szCs w:val="20"/>
                <w:lang w:val="en-US" w:eastAsia="zh-CN" w:bidi="ar-SA"/>
              </w:rPr>
            </w:pPr>
            <w:r>
              <w:rPr>
                <w:rFonts w:hint="default" w:ascii="Times New Roman" w:hAnsi="Times New Roman" w:eastAsia="宋体" w:cs="Times New Roman"/>
                <w:color w:val="auto"/>
                <w:lang w:val="en-US" w:eastAsia="zh-CN"/>
              </w:rPr>
              <w:t>本项目属于新建项目，不存在与本项目有关的原有污染情况及主要环境问题。</w:t>
            </w: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tabs>
          <w:tab w:val="left" w:pos="1680"/>
        </w:tabs>
        <w:adjustRightInd w:val="0"/>
        <w:snapToGrid w:val="0"/>
        <w:jc w:val="center"/>
        <w:outlineLvl w:val="0"/>
        <w:rPr>
          <w:rFonts w:hint="eastAsia" w:eastAsia="黑体"/>
          <w:color w:val="auto"/>
          <w:sz w:val="30"/>
          <w:szCs w:val="30"/>
          <w:lang w:eastAsia="zh-CN"/>
        </w:rPr>
      </w:pPr>
      <w:r>
        <w:rPr>
          <w:rFonts w:eastAsia="黑体"/>
          <w:color w:val="auto"/>
          <w:sz w:val="30"/>
          <w:szCs w:val="30"/>
        </w:rPr>
        <w:t>三、区域环境质量现状、环境保护目标及评价标准</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108" w:type="dxa"/>
          <w:right w:w="108" w:type="dxa"/>
        </w:tblCellMar>
      </w:tblPr>
      <w:tblGrid>
        <w:gridCol w:w="533"/>
        <w:gridCol w:w="8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12861"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kern w:val="0"/>
                <w:sz w:val="24"/>
              </w:rPr>
            </w:pPr>
            <w:r>
              <w:rPr>
                <w:rFonts w:hint="default" w:ascii="Times New Roman" w:hAnsi="Times New Roman" w:eastAsia="宋体" w:cs="Times New Roman"/>
                <w:b/>
                <w:bCs/>
                <w:color w:val="auto"/>
                <w:kern w:val="0"/>
                <w:sz w:val="24"/>
              </w:rPr>
              <w:t>区域环境质量现状</w:t>
            </w:r>
          </w:p>
        </w:tc>
        <w:tc>
          <w:tcPr>
            <w:tcW w:w="8415" w:type="dxa"/>
            <w:noWrap w:val="0"/>
            <w:vAlign w:val="center"/>
          </w:tcPr>
          <w:p>
            <w:pPr>
              <w:keepNext w:val="0"/>
              <w:keepLines w:val="0"/>
              <w:pageBreakBefore w:val="0"/>
              <w:widowControl w:val="0"/>
              <w:kinsoku/>
              <w:wordWrap/>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szCs w:val="22"/>
              </w:rPr>
            </w:pPr>
            <w:r>
              <w:rPr>
                <w:rFonts w:hint="default" w:ascii="Times New Roman" w:hAnsi="Times New Roman" w:eastAsia="宋体" w:cs="Times New Roman"/>
                <w:b/>
                <w:bCs/>
                <w:snapToGrid w:val="0"/>
                <w:color w:val="auto"/>
                <w:kern w:val="0"/>
                <w:sz w:val="24"/>
                <w:szCs w:val="22"/>
              </w:rPr>
              <w:t>1、环境空气质量现状</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lang w:eastAsia="zh-CN"/>
              </w:rPr>
              <w:t>）</w:t>
            </w:r>
            <w:r>
              <w:rPr>
                <w:rFonts w:hint="default" w:ascii="Times New Roman" w:hAnsi="Times New Roman" w:eastAsia="宋体" w:cs="Times New Roman"/>
                <w:b/>
                <w:bCs/>
                <w:color w:val="auto"/>
                <w:sz w:val="24"/>
                <w:szCs w:val="24"/>
                <w:lang w:val="en-US" w:eastAsia="zh-CN"/>
              </w:rPr>
              <w:t>基本污染物</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本项目位于</w:t>
            </w:r>
            <w:r>
              <w:rPr>
                <w:rFonts w:hint="default" w:ascii="Times New Roman" w:hAnsi="Times New Roman" w:eastAsia="宋体" w:cs="Times New Roman"/>
                <w:color w:val="auto"/>
                <w:sz w:val="24"/>
                <w:szCs w:val="24"/>
                <w:lang w:val="en-US" w:eastAsia="zh-CN"/>
              </w:rPr>
              <w:t>宁夏回族自治区中卫市沙坡头区</w:t>
            </w:r>
            <w:r>
              <w:rPr>
                <w:rFonts w:hint="eastAsia" w:cs="Times New Roman"/>
                <w:color w:val="auto"/>
                <w:sz w:val="24"/>
                <w:szCs w:val="24"/>
                <w:lang w:val="en-US" w:eastAsia="zh-CN"/>
              </w:rPr>
              <w:t>永康镇</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本次评价</w:t>
            </w:r>
            <w:r>
              <w:rPr>
                <w:rFonts w:hint="default" w:ascii="Times New Roman" w:hAnsi="Times New Roman" w:eastAsia="宋体" w:cs="Times New Roman"/>
                <w:color w:val="auto"/>
                <w:sz w:val="24"/>
                <w:szCs w:val="24"/>
              </w:rPr>
              <w:t>引用《</w:t>
            </w:r>
            <w:r>
              <w:rPr>
                <w:rFonts w:hint="default" w:ascii="Times New Roman" w:hAnsi="Times New Roman" w:eastAsia="宋体" w:cs="Times New Roman"/>
                <w:color w:val="auto"/>
                <w:sz w:val="24"/>
                <w:szCs w:val="24"/>
                <w:lang w:val="en-US" w:eastAsia="zh-CN"/>
              </w:rPr>
              <w:t>2022</w:t>
            </w:r>
            <w:r>
              <w:rPr>
                <w:rFonts w:hint="default" w:ascii="Times New Roman" w:hAnsi="Times New Roman" w:eastAsia="宋体" w:cs="Times New Roman"/>
                <w:color w:val="auto"/>
                <w:sz w:val="24"/>
                <w:szCs w:val="24"/>
              </w:rPr>
              <w:t>年宁夏生态环境质量</w:t>
            </w:r>
            <w:r>
              <w:rPr>
                <w:rFonts w:hint="default" w:ascii="Times New Roman" w:hAnsi="Times New Roman" w:eastAsia="宋体" w:cs="Times New Roman"/>
                <w:color w:val="auto"/>
                <w:sz w:val="24"/>
                <w:szCs w:val="24"/>
                <w:lang w:val="en-US" w:eastAsia="zh-CN"/>
              </w:rPr>
              <w:t>状况</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中</w:t>
            </w:r>
            <w:r>
              <w:rPr>
                <w:rFonts w:hint="default" w:ascii="Times New Roman" w:hAnsi="Times New Roman" w:eastAsia="宋体" w:cs="Times New Roman"/>
                <w:color w:val="auto"/>
                <w:sz w:val="24"/>
                <w:szCs w:val="24"/>
              </w:rPr>
              <w:t>剔除沙尘天气影响后</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中卫市沙坡头区的监测数据进行项目所在区域环境空气质量达标判定，</w:t>
            </w:r>
            <w:r>
              <w:rPr>
                <w:rFonts w:hint="default" w:ascii="Times New Roman" w:hAnsi="Times New Roman" w:eastAsia="宋体" w:cs="Times New Roman"/>
                <w:color w:val="auto"/>
                <w:sz w:val="24"/>
                <w:szCs w:val="24"/>
              </w:rPr>
              <w:t>区域空气质量评价结果见表3-1</w:t>
            </w:r>
            <w:r>
              <w:rPr>
                <w:rFonts w:hint="default" w:ascii="Times New Roman" w:hAnsi="Times New Roman" w:eastAsia="宋体" w:cs="Times New Roman"/>
                <w:color w:val="auto"/>
                <w:sz w:val="24"/>
                <w:szCs w:val="24"/>
                <w:lang w:eastAsia="zh-CN"/>
              </w:rPr>
              <w:t>。</w:t>
            </w:r>
          </w:p>
          <w:p>
            <w:pPr>
              <w:adjustRightInd w:val="0"/>
              <w:snapToGrid w:val="0"/>
              <w:ind w:firstLine="422" w:firstLineChars="20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表3-1</w:t>
            </w:r>
            <w:r>
              <w:rPr>
                <w:rFonts w:hint="default" w:ascii="Times New Roman" w:hAnsi="Times New Roman" w:eastAsia="宋体" w:cs="Times New Roman"/>
                <w:b/>
                <w:bCs/>
                <w:color w:val="auto"/>
                <w:sz w:val="21"/>
                <w:szCs w:val="21"/>
                <w:lang w:val="en-US" w:eastAsia="zh-CN"/>
              </w:rPr>
              <w:t xml:space="preserve">  中卫市沙坡头区环境</w:t>
            </w:r>
            <w:r>
              <w:rPr>
                <w:rFonts w:hint="default" w:ascii="Times New Roman" w:hAnsi="Times New Roman" w:eastAsia="宋体" w:cs="Times New Roman"/>
                <w:b/>
                <w:bCs/>
                <w:color w:val="auto"/>
                <w:sz w:val="21"/>
                <w:szCs w:val="21"/>
              </w:rPr>
              <w:t>空气质量评价表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91"/>
              <w:gridCol w:w="3151"/>
              <w:gridCol w:w="1127"/>
              <w:gridCol w:w="1127"/>
              <w:gridCol w:w="1127"/>
              <w:gridCol w:w="77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污染物</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年评价指标</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lang w:val="en-US" w:eastAsia="zh-CN"/>
                    </w:rPr>
                  </w:pPr>
                  <w:r>
                    <w:rPr>
                      <w:rFonts w:hint="default" w:ascii="Times New Roman" w:hAnsi="Times New Roman" w:eastAsia="宋体" w:cs="Times New Roman"/>
                      <w:b/>
                      <w:snapToGrid w:val="0"/>
                      <w:color w:val="auto"/>
                      <w:kern w:val="0"/>
                      <w:sz w:val="21"/>
                      <w:szCs w:val="21"/>
                      <w:lang w:val="en-US" w:eastAsia="zh-CN"/>
                    </w:rPr>
                    <w:t>浓度单位</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lang w:val="en-US" w:eastAsia="zh-CN"/>
                    </w:rPr>
                  </w:pPr>
                  <w:r>
                    <w:rPr>
                      <w:rFonts w:hint="default" w:ascii="Times New Roman" w:hAnsi="Times New Roman" w:eastAsia="宋体" w:cs="Times New Roman"/>
                      <w:b/>
                      <w:snapToGrid w:val="0"/>
                      <w:color w:val="auto"/>
                      <w:kern w:val="0"/>
                      <w:sz w:val="21"/>
                      <w:szCs w:val="21"/>
                    </w:rPr>
                    <w:t>现状浓度</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标准值</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达标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snapToGrid w:val="0"/>
                      <w:color w:val="auto"/>
                      <w:kern w:val="0"/>
                      <w:sz w:val="21"/>
                      <w:szCs w:val="21"/>
                    </w:rPr>
                  </w:pPr>
                  <w:r>
                    <w:rPr>
                      <w:rFonts w:hint="default" w:ascii="Times New Roman" w:hAnsi="Times New Roman" w:eastAsia="宋体" w:cs="Times New Roman"/>
                      <w:b/>
                      <w:snapToGrid w:val="0"/>
                      <w:color w:val="auto"/>
                      <w:kern w:val="0"/>
                      <w:sz w:val="21"/>
                      <w:szCs w:val="21"/>
                    </w:rP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66</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70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Cs/>
                      <w:color w:val="auto"/>
                      <w:sz w:val="21"/>
                      <w:szCs w:val="21"/>
                    </w:rPr>
                    <w:t>PM</w:t>
                  </w:r>
                  <w:r>
                    <w:rPr>
                      <w:rFonts w:hint="default" w:ascii="Times New Roman" w:hAnsi="Times New Roman" w:eastAsia="宋体" w:cs="Times New Roman"/>
                      <w:bCs/>
                      <w:color w:val="auto"/>
                      <w:sz w:val="21"/>
                      <w:szCs w:val="21"/>
                      <w:vertAlign w:val="subscript"/>
                    </w:rPr>
                    <w:t>2.5</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30</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35</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9</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年均值</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22</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O</w:t>
                  </w:r>
                  <w:r>
                    <w:rPr>
                      <w:rFonts w:hint="default" w:ascii="Times New Roman" w:hAnsi="Times New Roman" w:eastAsia="宋体" w:cs="Times New Roman"/>
                      <w:color w:val="auto"/>
                      <w:sz w:val="21"/>
                      <w:szCs w:val="21"/>
                      <w:vertAlign w:val="subscript"/>
                    </w:rPr>
                    <w:t>3</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日最大8h平均值第90百分位数</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snapToGrid w:val="0"/>
                      <w:color w:val="auto"/>
                      <w:kern w:val="0"/>
                      <w:sz w:val="21"/>
                      <w:szCs w:val="21"/>
                      <w:lang w:val="en-US" w:eastAsia="zh-CN"/>
                    </w:rPr>
                    <w:t>μg/m</w:t>
                  </w:r>
                  <w:r>
                    <w:rPr>
                      <w:rFonts w:hint="default" w:ascii="Times New Roman" w:hAnsi="Times New Roman" w:eastAsia="宋体" w:cs="Times New Roman"/>
                      <w:b w:val="0"/>
                      <w:bCs/>
                      <w:snapToGrid w:val="0"/>
                      <w:color w:val="auto"/>
                      <w:kern w:val="0"/>
                      <w:sz w:val="21"/>
                      <w:szCs w:val="21"/>
                      <w:vertAlign w:val="superscript"/>
                      <w:lang w:val="en-US" w:eastAsia="zh-CN"/>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140</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160</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4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CO</w:t>
                  </w:r>
                </w:p>
              </w:tc>
              <w:tc>
                <w:tcPr>
                  <w:tcW w:w="192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24小时平均第95百分位数</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mg/m</w:t>
                  </w:r>
                  <w:r>
                    <w:rPr>
                      <w:rFonts w:hint="default" w:ascii="Times New Roman" w:hAnsi="Times New Roman" w:eastAsia="宋体" w:cs="Times New Roman"/>
                      <w:b w:val="0"/>
                      <w:bCs/>
                      <w:color w:val="auto"/>
                      <w:sz w:val="21"/>
                      <w:szCs w:val="21"/>
                      <w:vertAlign w:val="superscript"/>
                    </w:rPr>
                    <w:t>3</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0.8</w:t>
                  </w:r>
                </w:p>
              </w:tc>
              <w:tc>
                <w:tcPr>
                  <w:tcW w:w="6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4</w:t>
                  </w:r>
                </w:p>
              </w:tc>
              <w:tc>
                <w:tcPr>
                  <w:tcW w:w="473"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达标</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4"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snapToGrid w:val="0"/>
                <w:color w:val="auto"/>
                <w:spacing w:val="1"/>
                <w:position w:val="-3"/>
                <w:sz w:val="24"/>
                <w:szCs w:val="24"/>
                <w:highlight w:val="none"/>
                <w:lang w:val="en-US" w:eastAsia="zh-CN"/>
              </w:rPr>
              <w:t>由上表可知，中卫市沙坡头区</w:t>
            </w:r>
            <w:r>
              <w:rPr>
                <w:rFonts w:hint="default" w:ascii="Times New Roman" w:hAnsi="Times New Roman" w:eastAsia="宋体" w:cs="Times New Roman"/>
                <w:color w:val="auto"/>
                <w:kern w:val="0"/>
                <w:sz w:val="24"/>
                <w:szCs w:val="24"/>
                <w:lang w:val="en-US" w:eastAsia="zh-CN" w:bidi="ar"/>
              </w:rPr>
              <w:t>2022年PM</w:t>
            </w:r>
            <w:r>
              <w:rPr>
                <w:rFonts w:hint="default" w:ascii="Times New Roman" w:hAnsi="Times New Roman" w:eastAsia="宋体" w:cs="Times New Roman"/>
                <w:color w:val="auto"/>
                <w:kern w:val="0"/>
                <w:sz w:val="24"/>
                <w:szCs w:val="24"/>
                <w:vertAlign w:val="subscript"/>
                <w:lang w:val="en-US" w:eastAsia="zh-CN" w:bidi="ar"/>
              </w:rPr>
              <w:t>10</w:t>
            </w:r>
            <w:r>
              <w:rPr>
                <w:rFonts w:hint="default" w:ascii="Times New Roman" w:hAnsi="Times New Roman" w:eastAsia="宋体" w:cs="Times New Roman"/>
                <w:color w:val="auto"/>
                <w:kern w:val="0"/>
                <w:sz w:val="24"/>
                <w:szCs w:val="24"/>
                <w:lang w:val="en-US" w:eastAsia="zh-CN" w:bidi="ar"/>
              </w:rPr>
              <w:t>、PM</w:t>
            </w:r>
            <w:r>
              <w:rPr>
                <w:rFonts w:hint="default" w:ascii="Times New Roman" w:hAnsi="Times New Roman" w:eastAsia="宋体" w:cs="Times New Roman"/>
                <w:color w:val="auto"/>
                <w:kern w:val="0"/>
                <w:sz w:val="24"/>
                <w:szCs w:val="24"/>
                <w:vertAlign w:val="subscript"/>
                <w:lang w:val="en-US" w:eastAsia="zh-CN" w:bidi="ar"/>
              </w:rPr>
              <w:t>2.5</w:t>
            </w:r>
            <w:r>
              <w:rPr>
                <w:rFonts w:hint="default" w:ascii="Times New Roman" w:hAnsi="Times New Roman" w:eastAsia="宋体" w:cs="Times New Roman"/>
                <w:color w:val="auto"/>
                <w:kern w:val="0"/>
                <w:sz w:val="24"/>
                <w:szCs w:val="24"/>
                <w:lang w:val="en-US" w:eastAsia="zh-CN" w:bidi="ar"/>
              </w:rPr>
              <w:t>、SO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、NO</w:t>
            </w:r>
            <w:r>
              <w:rPr>
                <w:rFonts w:hint="default" w:ascii="Times New Roman" w:hAnsi="Times New Roman" w:eastAsia="宋体" w:cs="Times New Roman"/>
                <w:color w:val="auto"/>
                <w:kern w:val="0"/>
                <w:sz w:val="24"/>
                <w:szCs w:val="24"/>
                <w:vertAlign w:val="subscript"/>
                <w:lang w:val="en-US" w:eastAsia="zh-CN" w:bidi="ar"/>
              </w:rPr>
              <w:t>2</w:t>
            </w:r>
            <w:r>
              <w:rPr>
                <w:rFonts w:hint="default" w:ascii="Times New Roman" w:hAnsi="Times New Roman" w:eastAsia="宋体" w:cs="Times New Roman"/>
                <w:color w:val="auto"/>
                <w:kern w:val="0"/>
                <w:sz w:val="24"/>
                <w:szCs w:val="24"/>
                <w:lang w:val="en-US" w:eastAsia="zh-CN" w:bidi="ar"/>
              </w:rPr>
              <w:t>年均浓度、CO24小时平均第95百分位数浓度、O</w:t>
            </w:r>
            <w:r>
              <w:rPr>
                <w:rFonts w:hint="default" w:ascii="Times New Roman" w:hAnsi="Times New Roman" w:eastAsia="宋体" w:cs="Times New Roman"/>
                <w:color w:val="auto"/>
                <w:kern w:val="0"/>
                <w:sz w:val="24"/>
                <w:szCs w:val="24"/>
                <w:vertAlign w:val="subscript"/>
                <w:lang w:val="en-US" w:eastAsia="zh-CN" w:bidi="ar"/>
              </w:rPr>
              <w:t>3</w:t>
            </w:r>
            <w:r>
              <w:rPr>
                <w:rFonts w:hint="default" w:ascii="Times New Roman" w:hAnsi="Times New Roman" w:eastAsia="宋体" w:cs="Times New Roman"/>
                <w:color w:val="auto"/>
                <w:kern w:val="0"/>
                <w:sz w:val="24"/>
                <w:szCs w:val="24"/>
                <w:lang w:val="en-US" w:eastAsia="zh-CN" w:bidi="ar"/>
              </w:rPr>
              <w:t>日最大8小时滑动平均值的第90百分位数浓度均满足《环境空气质量标准》（GB3095-2012及修改单）表1中二级标准限值。因此，本项目所在区域为达标区。</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snapToGrid w:val="0"/>
                <w:color w:val="auto"/>
                <w:kern w:val="0"/>
                <w:sz w:val="24"/>
                <w:szCs w:val="22"/>
                <w:highlight w:val="none"/>
              </w:rPr>
            </w:pPr>
            <w:r>
              <w:rPr>
                <w:rFonts w:hint="default" w:ascii="Times New Roman" w:hAnsi="Times New Roman" w:eastAsia="宋体" w:cs="Times New Roman"/>
                <w:b/>
                <w:bCs/>
                <w:snapToGrid w:val="0"/>
                <w:color w:val="auto"/>
                <w:kern w:val="0"/>
                <w:sz w:val="24"/>
                <w:szCs w:val="22"/>
                <w:highlight w:val="none"/>
              </w:rPr>
              <w:t>地表水环境质量现状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w:t>
            </w:r>
            <w:r>
              <w:rPr>
                <w:rFonts w:hint="eastAsia" w:cs="Times New Roman"/>
                <w:color w:val="auto"/>
                <w:kern w:val="0"/>
                <w:sz w:val="24"/>
                <w:szCs w:val="24"/>
                <w:highlight w:val="none"/>
                <w:lang w:val="en-US" w:eastAsia="zh-CN" w:bidi="ar"/>
              </w:rPr>
              <w:t>1.02</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羚羊寿渠</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S</w:t>
            </w:r>
            <w:r>
              <w:rPr>
                <w:rFonts w:hint="default" w:ascii="Times New Roman" w:hAnsi="Times New Roman" w:eastAsia="宋体" w:cs="Times New Roman"/>
                <w:color w:val="auto"/>
                <w:kern w:val="0"/>
                <w:sz w:val="24"/>
                <w:szCs w:val="24"/>
                <w:highlight w:val="none"/>
                <w:lang w:val="en-US" w:eastAsia="zh-CN" w:bidi="ar"/>
              </w:rPr>
              <w:t>，0.</w:t>
            </w:r>
            <w:r>
              <w:rPr>
                <w:rFonts w:hint="eastAsia" w:cs="Times New Roman"/>
                <w:color w:val="auto"/>
                <w:kern w:val="0"/>
                <w:sz w:val="24"/>
                <w:szCs w:val="24"/>
                <w:highlight w:val="none"/>
                <w:lang w:val="en-US" w:eastAsia="zh-CN" w:bidi="ar"/>
              </w:rPr>
              <w:t>56</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以及永丰渠（N，0.26）</w:t>
            </w:r>
            <w:r>
              <w:rPr>
                <w:rFonts w:hint="default" w:ascii="Times New Roman" w:hAnsi="Times New Roman" w:eastAsia="宋体" w:cs="Times New Roman"/>
                <w:color w:val="auto"/>
                <w:kern w:val="0"/>
                <w:sz w:val="24"/>
                <w:szCs w:val="24"/>
                <w:highlight w:val="none"/>
                <w:lang w:val="en-US" w:eastAsia="zh-CN" w:bidi="ar"/>
              </w:rPr>
              <w:t>，其中黄河中卫段水质执行《地表水环境质量标准》（GB3838-2002）中Ⅱ类标准。本次评价采用《宁夏回族自治区环境质量报告书（2022年）》中黄河中卫下河沿、金沙湾两个断面监测数据进行现状评价。</w:t>
            </w:r>
          </w:p>
          <w:p>
            <w:pPr>
              <w:pStyle w:val="6"/>
              <w:keepNext/>
              <w:keepLines/>
              <w:pageBreakBefore w:val="0"/>
              <w:widowControl w:val="0"/>
              <w:kinsoku/>
              <w:wordWrap/>
              <w:overflowPunct/>
              <w:topLinePunct w:val="0"/>
              <w:autoSpaceDE/>
              <w:autoSpaceDN/>
              <w:bidi w:val="0"/>
              <w:adjustRightInd w:val="0"/>
              <w:snapToGrid w:val="0"/>
              <w:spacing w:before="0" w:after="0" w:line="240" w:lineRule="auto"/>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lang w:val="en-US" w:eastAsia="zh-CN"/>
              </w:rPr>
              <w:t>表3-</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kern w:val="0"/>
                <w:sz w:val="21"/>
                <w:szCs w:val="21"/>
                <w:lang w:val="en-US" w:eastAsia="zh-CN" w:bidi="ar"/>
              </w:rPr>
              <w:t>黄河中卫下河沿、金沙湾断面主要污染指标平均浓度比较       单位mg/L</w:t>
            </w:r>
          </w:p>
          <w:tbl>
            <w:tblPr>
              <w:tblStyle w:val="23"/>
              <w:tblW w:w="8199"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5"/>
              <w:gridCol w:w="826"/>
              <w:gridCol w:w="728"/>
              <w:gridCol w:w="820"/>
              <w:gridCol w:w="820"/>
              <w:gridCol w:w="820"/>
              <w:gridCol w:w="820"/>
              <w:gridCol w:w="820"/>
              <w:gridCol w:w="820"/>
              <w:gridCol w:w="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断面名称</w:t>
                  </w:r>
                </w:p>
              </w:tc>
              <w:tc>
                <w:tcPr>
                  <w:tcW w:w="2374"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高锰酸盐指数</w:t>
                  </w:r>
                </w:p>
              </w:tc>
              <w:tc>
                <w:tcPr>
                  <w:tcW w:w="2460"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氨氮</w:t>
                  </w:r>
                </w:p>
              </w:tc>
              <w:tc>
                <w:tcPr>
                  <w:tcW w:w="2460" w:type="dxa"/>
                  <w:gridSpan w:val="3"/>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2022年</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同比（%）</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2022年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同比（%）</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2022年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2021年</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bCs w:val="0"/>
                      <w:color w:val="auto"/>
                      <w:kern w:val="2"/>
                      <w:sz w:val="21"/>
                      <w:szCs w:val="21"/>
                      <w:vertAlign w:val="baseline"/>
                      <w:lang w:val="en-US" w:eastAsia="zh-CN" w:bidi="ar-SA"/>
                    </w:rPr>
                  </w:pPr>
                  <w:r>
                    <w:rPr>
                      <w:rFonts w:hint="default" w:ascii="Times New Roman" w:hAnsi="Times New Roman" w:eastAsia="宋体" w:cs="Times New Roman"/>
                      <w:b/>
                      <w:bCs w:val="0"/>
                      <w:color w:val="auto"/>
                      <w:sz w:val="21"/>
                      <w:szCs w:val="21"/>
                      <w:vertAlign w:val="baseline"/>
                      <w:lang w:val="en-US" w:eastAsia="zh-CN"/>
                    </w:rPr>
                    <w:t>同比（%）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lang w:val="en-US" w:eastAsia="zh-CN" w:bidi="ar"/>
                    </w:rPr>
                    <w:t>中卫下河沿</w:t>
                  </w: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1.8</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2.3</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-21.7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0.05</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0.17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-71.3</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0.05</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0.0059</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lang w:val="en-US" w:eastAsia="zh-CN" w:bidi="ar"/>
                    </w:rPr>
                    <w:t>金沙湾</w:t>
                  </w:r>
                </w:p>
              </w:tc>
              <w:tc>
                <w:tcPr>
                  <w:tcW w:w="826"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1.6</w:t>
                  </w:r>
                </w:p>
              </w:tc>
              <w:tc>
                <w:tcPr>
                  <w:tcW w:w="72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2.1</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-23.8</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-2.7</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0.044</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0.061</w:t>
                  </w:r>
                </w:p>
              </w:tc>
              <w:tc>
                <w:tcPr>
                  <w:tcW w:w="820"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-27.9</w:t>
                  </w:r>
                </w:p>
              </w:tc>
            </w:tr>
          </w:tbl>
          <w:p>
            <w:pPr>
              <w:pStyle w:val="12"/>
              <w:keepNext w:val="0"/>
              <w:keepLines w:val="0"/>
              <w:pageBreakBefore w:val="0"/>
              <w:widowControl/>
              <w:kinsoku/>
              <w:wordWrap/>
              <w:overflowPunct/>
              <w:topLinePunct w:val="0"/>
              <w:autoSpaceDE/>
              <w:autoSpaceDN/>
              <w:bidi w:val="0"/>
              <w:adjustRightInd w:val="0"/>
              <w:snapToGrid w:val="0"/>
              <w:spacing w:before="157" w:beforeLines="50" w:after="0" w:line="360" w:lineRule="auto"/>
              <w:ind w:right="0" w:firstLine="480" w:firstLineChars="200"/>
              <w:textAlignment w:val="auto"/>
              <w:rPr>
                <w:rFonts w:hint="default" w:ascii="Times New Roman" w:hAnsi="Times New Roman" w:eastAsia="宋体" w:cs="Times New Roman"/>
                <w:bCs/>
                <w:color w:val="auto"/>
                <w:kern w:val="2"/>
                <w:sz w:val="24"/>
                <w:szCs w:val="24"/>
              </w:rPr>
            </w:pPr>
            <w:r>
              <w:rPr>
                <w:rFonts w:hint="default" w:ascii="Times New Roman" w:hAnsi="Times New Roman" w:eastAsia="宋体" w:cs="Times New Roman"/>
                <w:bCs/>
                <w:color w:val="auto"/>
                <w:kern w:val="2"/>
                <w:sz w:val="24"/>
                <w:szCs w:val="24"/>
              </w:rPr>
              <w:t>由表3-</w:t>
            </w:r>
            <w:r>
              <w:rPr>
                <w:rFonts w:hint="default" w:ascii="Times New Roman" w:hAnsi="Times New Roman" w:eastAsia="宋体" w:cs="Times New Roman"/>
                <w:bCs/>
                <w:color w:val="auto"/>
                <w:kern w:val="2"/>
                <w:sz w:val="24"/>
                <w:szCs w:val="24"/>
                <w:lang w:val="en-US" w:eastAsia="zh-CN"/>
              </w:rPr>
              <w:t>2</w:t>
            </w:r>
            <w:r>
              <w:rPr>
                <w:rFonts w:hint="default" w:ascii="Times New Roman" w:hAnsi="Times New Roman" w:eastAsia="宋体" w:cs="Times New Roman"/>
                <w:bCs/>
                <w:color w:val="auto"/>
                <w:kern w:val="2"/>
                <w:sz w:val="24"/>
                <w:szCs w:val="24"/>
              </w:rPr>
              <w:t>可知</w:t>
            </w:r>
            <w:r>
              <w:rPr>
                <w:rFonts w:hint="default" w:ascii="Times New Roman" w:hAnsi="Times New Roman" w:eastAsia="宋体" w:cs="Times New Roman"/>
                <w:bCs/>
                <w:color w:val="auto"/>
                <w:kern w:val="2"/>
                <w:sz w:val="24"/>
                <w:szCs w:val="24"/>
                <w:lang w:eastAsia="zh-CN"/>
              </w:rPr>
              <w:t>，</w:t>
            </w:r>
            <w:r>
              <w:rPr>
                <w:rFonts w:hint="default" w:ascii="Times New Roman" w:hAnsi="Times New Roman" w:eastAsia="宋体" w:cs="Times New Roman"/>
                <w:bCs/>
                <w:color w:val="auto"/>
                <w:kern w:val="2"/>
                <w:sz w:val="24"/>
                <w:szCs w:val="24"/>
              </w:rPr>
              <w:t>黄河中卫下河沿</w:t>
            </w:r>
            <w:r>
              <w:rPr>
                <w:rFonts w:hint="default" w:ascii="Times New Roman" w:hAnsi="Times New Roman" w:eastAsia="宋体" w:cs="Times New Roman"/>
                <w:bCs/>
                <w:color w:val="auto"/>
                <w:kern w:val="2"/>
                <w:sz w:val="24"/>
                <w:szCs w:val="24"/>
                <w:lang w:eastAsia="zh-CN"/>
              </w:rPr>
              <w:t>、</w:t>
            </w:r>
            <w:r>
              <w:rPr>
                <w:rFonts w:hint="default" w:ascii="Times New Roman" w:hAnsi="Times New Roman" w:eastAsia="宋体" w:cs="Times New Roman"/>
                <w:bCs/>
                <w:color w:val="auto"/>
                <w:kern w:val="2"/>
                <w:sz w:val="24"/>
                <w:szCs w:val="24"/>
                <w:lang w:val="en-US" w:eastAsia="zh-CN"/>
              </w:rPr>
              <w:t>金沙湾</w:t>
            </w:r>
            <w:r>
              <w:rPr>
                <w:rFonts w:hint="default" w:ascii="Times New Roman" w:hAnsi="Times New Roman" w:eastAsia="宋体" w:cs="Times New Roman"/>
                <w:bCs/>
                <w:color w:val="auto"/>
                <w:kern w:val="2"/>
                <w:sz w:val="24"/>
                <w:szCs w:val="24"/>
              </w:rPr>
              <w:t>断面水质指标符合《地表水环境质量标准》（GB3838-2002）中的Ⅱ类标准。</w:t>
            </w:r>
          </w:p>
          <w:p>
            <w:pPr>
              <w:pStyle w:val="15"/>
              <w:adjustRightInd w:val="0"/>
              <w:snapToGrid w:val="0"/>
              <w:spacing w:line="360" w:lineRule="auto"/>
              <w:ind w:firstLine="482" w:firstLineChars="200"/>
              <w:rPr>
                <w:rFonts w:hint="default" w:ascii="Times New Roman" w:hAnsi="Times New Roman" w:eastAsia="宋体" w:cs="Times New Roman"/>
                <w:b/>
                <w:bCs/>
                <w:snapToGrid w:val="0"/>
                <w:color w:val="auto"/>
                <w:spacing w:val="0"/>
                <w:sz w:val="24"/>
              </w:rPr>
            </w:pPr>
            <w:r>
              <w:rPr>
                <w:rFonts w:hint="default" w:ascii="Times New Roman" w:hAnsi="Times New Roman" w:eastAsia="宋体" w:cs="Times New Roman"/>
                <w:b/>
                <w:bCs/>
                <w:snapToGrid w:val="0"/>
                <w:color w:val="auto"/>
                <w:spacing w:val="0"/>
                <w:sz w:val="24"/>
              </w:rPr>
              <w:t>3、声环境质量现状</w:t>
            </w:r>
          </w:p>
          <w:p>
            <w:pPr>
              <w:pStyle w:val="15"/>
              <w:adjustRightInd w:val="0"/>
              <w:snapToGrid w:val="0"/>
              <w:spacing w:line="360" w:lineRule="auto"/>
              <w:ind w:firstLine="480" w:firstLineChars="200"/>
              <w:jc w:val="both"/>
              <w:rPr>
                <w:rFonts w:hint="default" w:ascii="Times New Roman" w:hAnsi="Times New Roman" w:eastAsia="宋体" w:cs="Times New Roman"/>
                <w:snapToGrid w:val="0"/>
                <w:color w:val="auto"/>
                <w:spacing w:val="0"/>
                <w:sz w:val="24"/>
              </w:rPr>
            </w:pPr>
            <w:r>
              <w:rPr>
                <w:rFonts w:hint="default" w:ascii="Times New Roman" w:hAnsi="Times New Roman" w:eastAsia="宋体" w:cs="Times New Roman"/>
                <w:snapToGrid w:val="0"/>
                <w:color w:val="auto"/>
                <w:spacing w:val="0"/>
                <w:sz w:val="24"/>
              </w:rPr>
              <w:t>根据《建设项目环境影响报告表编制技术指南》（污染影响类）（试行）中关于声环境质量现状监测要求</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rPr>
              <w:t>厂界外周边50m范围内存在声环境保护目标的建设项目，应监测保护目标声环境质量现状并评价达标情况</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rPr>
              <w:t>。根据现场踏勘，厂区50m范围内无声环境保护目标。因此，</w:t>
            </w:r>
            <w:r>
              <w:rPr>
                <w:rFonts w:hint="eastAsia" w:cs="Times New Roman"/>
                <w:snapToGrid w:val="0"/>
                <w:color w:val="auto"/>
                <w:spacing w:val="0"/>
                <w:sz w:val="24"/>
                <w:lang w:val="en-US" w:eastAsia="zh-CN"/>
              </w:rPr>
              <w:t>不</w:t>
            </w:r>
            <w:r>
              <w:rPr>
                <w:rFonts w:hint="default" w:ascii="Times New Roman" w:hAnsi="Times New Roman" w:eastAsia="宋体" w:cs="Times New Roman"/>
                <w:snapToGrid w:val="0"/>
                <w:color w:val="auto"/>
                <w:spacing w:val="0"/>
                <w:sz w:val="24"/>
              </w:rPr>
              <w:t>开展声环境质量现状评价。</w:t>
            </w:r>
          </w:p>
          <w:p>
            <w:pPr>
              <w:pStyle w:val="15"/>
              <w:adjustRightInd w:val="0"/>
              <w:snapToGrid w:val="0"/>
              <w:spacing w:line="360" w:lineRule="auto"/>
              <w:ind w:firstLine="482" w:firstLineChars="200"/>
              <w:rPr>
                <w:rFonts w:hint="default" w:ascii="Times New Roman" w:hAnsi="Times New Roman" w:eastAsia="宋体" w:cs="Times New Roman"/>
                <w:b/>
                <w:bCs/>
                <w:snapToGrid w:val="0"/>
                <w:color w:val="auto"/>
                <w:spacing w:val="0"/>
                <w:sz w:val="24"/>
              </w:rPr>
            </w:pPr>
            <w:r>
              <w:rPr>
                <w:rFonts w:hint="default" w:ascii="Times New Roman" w:hAnsi="Times New Roman" w:eastAsia="宋体" w:cs="Times New Roman"/>
                <w:b/>
                <w:bCs/>
                <w:snapToGrid w:val="0"/>
                <w:color w:val="auto"/>
                <w:spacing w:val="0"/>
                <w:sz w:val="24"/>
              </w:rPr>
              <w:t>4、地下水</w:t>
            </w:r>
            <w:r>
              <w:rPr>
                <w:rFonts w:hint="default" w:ascii="Times New Roman" w:hAnsi="Times New Roman" w:eastAsia="宋体" w:cs="Times New Roman"/>
                <w:b/>
                <w:bCs/>
                <w:snapToGrid w:val="0"/>
                <w:color w:val="auto"/>
                <w:spacing w:val="0"/>
                <w:sz w:val="24"/>
                <w:lang w:eastAsia="zh-CN"/>
              </w:rPr>
              <w:t>、</w:t>
            </w:r>
            <w:r>
              <w:rPr>
                <w:rFonts w:hint="default" w:ascii="Times New Roman" w:hAnsi="Times New Roman" w:eastAsia="宋体" w:cs="Times New Roman"/>
                <w:b/>
                <w:bCs/>
                <w:snapToGrid w:val="0"/>
                <w:color w:val="auto"/>
                <w:spacing w:val="0"/>
                <w:sz w:val="24"/>
                <w:lang w:val="en-US" w:eastAsia="zh-CN"/>
              </w:rPr>
              <w:t>土壤</w:t>
            </w:r>
            <w:r>
              <w:rPr>
                <w:rFonts w:hint="default" w:ascii="Times New Roman" w:hAnsi="Times New Roman" w:eastAsia="宋体" w:cs="Times New Roman"/>
                <w:b/>
                <w:bCs/>
                <w:snapToGrid w:val="0"/>
                <w:color w:val="auto"/>
                <w:spacing w:val="0"/>
                <w:sz w:val="24"/>
              </w:rPr>
              <w:t>环境质量现状</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rPr>
            </w:pPr>
            <w:r>
              <w:rPr>
                <w:rFonts w:hint="default" w:ascii="Times New Roman" w:hAnsi="Times New Roman" w:eastAsia="宋体" w:cs="Times New Roman"/>
                <w:snapToGrid w:val="0"/>
                <w:color w:val="auto"/>
                <w:spacing w:val="0"/>
                <w:sz w:val="24"/>
                <w:lang w:val="en-US" w:eastAsia="zh-CN"/>
              </w:rPr>
              <w:t>本项目涉及的主要污染因子为TSP，正常情况下</w:t>
            </w:r>
            <w:r>
              <w:rPr>
                <w:rFonts w:hint="default" w:ascii="Times New Roman" w:hAnsi="Times New Roman" w:eastAsia="宋体" w:cs="Times New Roman"/>
                <w:snapToGrid w:val="0"/>
                <w:color w:val="auto"/>
                <w:spacing w:val="0"/>
                <w:sz w:val="24"/>
              </w:rPr>
              <w:t>不存在地下水</w:t>
            </w:r>
            <w:r>
              <w:rPr>
                <w:rFonts w:hint="default" w:ascii="Times New Roman" w:hAnsi="Times New Roman" w:eastAsia="宋体" w:cs="Times New Roman"/>
                <w:snapToGrid w:val="0"/>
                <w:color w:val="auto"/>
                <w:spacing w:val="0"/>
                <w:sz w:val="24"/>
                <w:lang w:val="en-US" w:eastAsia="zh-CN"/>
              </w:rPr>
              <w:t>和土壤</w:t>
            </w:r>
            <w:r>
              <w:rPr>
                <w:rFonts w:hint="default" w:ascii="Times New Roman" w:hAnsi="Times New Roman" w:eastAsia="宋体" w:cs="Times New Roman"/>
                <w:snapToGrid w:val="0"/>
                <w:color w:val="auto"/>
                <w:spacing w:val="0"/>
                <w:sz w:val="24"/>
              </w:rPr>
              <w:t>环境污染途径，根据《建设项目环境影响报告表编制技术指南》（污染影响类）（试行）原则上不开展地下水</w:t>
            </w:r>
            <w:r>
              <w:rPr>
                <w:rFonts w:hint="default" w:ascii="Times New Roman" w:hAnsi="Times New Roman" w:eastAsia="宋体" w:cs="Times New Roman"/>
                <w:snapToGrid w:val="0"/>
                <w:color w:val="auto"/>
                <w:spacing w:val="0"/>
                <w:sz w:val="24"/>
                <w:lang w:eastAsia="zh-CN"/>
              </w:rPr>
              <w:t>、</w:t>
            </w:r>
            <w:r>
              <w:rPr>
                <w:rFonts w:hint="default" w:ascii="Times New Roman" w:hAnsi="Times New Roman" w:eastAsia="宋体" w:cs="Times New Roman"/>
                <w:snapToGrid w:val="0"/>
                <w:color w:val="auto"/>
                <w:spacing w:val="0"/>
                <w:sz w:val="24"/>
                <w:lang w:val="en-US" w:eastAsia="zh-CN"/>
              </w:rPr>
              <w:t>土壤</w:t>
            </w:r>
            <w:r>
              <w:rPr>
                <w:rFonts w:hint="default" w:ascii="Times New Roman" w:hAnsi="Times New Roman" w:eastAsia="宋体" w:cs="Times New Roman"/>
                <w:snapToGrid w:val="0"/>
                <w:color w:val="auto"/>
                <w:spacing w:val="0"/>
                <w:sz w:val="24"/>
              </w:rPr>
              <w:t>环境质量现状调查。</w:t>
            </w:r>
            <w:r>
              <w:rPr>
                <w:rFonts w:hint="default" w:ascii="Times New Roman" w:hAnsi="Times New Roman" w:eastAsia="宋体" w:cs="Times New Roman"/>
                <w:snapToGrid w:val="0"/>
                <w:color w:val="auto"/>
                <w:spacing w:val="0"/>
                <w:sz w:val="24"/>
                <w:lang w:val="en-US" w:eastAsia="zh-CN"/>
              </w:rPr>
              <w:t>判断</w:t>
            </w:r>
            <w:r>
              <w:rPr>
                <w:rFonts w:hint="default" w:ascii="Times New Roman" w:hAnsi="Times New Roman" w:eastAsia="宋体" w:cs="Times New Roman"/>
                <w:snapToGrid w:val="0"/>
                <w:color w:val="auto"/>
                <w:spacing w:val="0"/>
                <w:sz w:val="24"/>
              </w:rPr>
              <w:t>本项目不开展地下水</w:t>
            </w:r>
            <w:r>
              <w:rPr>
                <w:rFonts w:hint="default" w:ascii="Times New Roman" w:hAnsi="Times New Roman" w:eastAsia="宋体" w:cs="Times New Roman"/>
                <w:snapToGrid w:val="0"/>
                <w:color w:val="auto"/>
                <w:spacing w:val="0"/>
                <w:sz w:val="24"/>
                <w:lang w:val="en-US" w:eastAsia="zh-CN"/>
              </w:rPr>
              <w:t>和土壤</w:t>
            </w:r>
            <w:r>
              <w:rPr>
                <w:rFonts w:hint="default" w:ascii="Times New Roman" w:hAnsi="Times New Roman" w:eastAsia="宋体" w:cs="Times New Roman"/>
                <w:snapToGrid w:val="0"/>
                <w:color w:val="auto"/>
                <w:spacing w:val="0"/>
                <w:sz w:val="24"/>
              </w:rPr>
              <w:t>环境质量现状评价。</w:t>
            </w:r>
          </w:p>
          <w:p>
            <w:pPr>
              <w:adjustRightInd w:val="0"/>
              <w:snapToGrid w:val="0"/>
              <w:spacing w:line="360" w:lineRule="auto"/>
              <w:ind w:firstLine="482" w:firstLineChars="200"/>
              <w:jc w:val="left"/>
              <w:rPr>
                <w:rFonts w:hint="default" w:ascii="Times New Roman" w:hAnsi="Times New Roman" w:eastAsia="宋体" w:cs="Times New Roman"/>
                <w:b/>
                <w:bCs/>
                <w:color w:val="auto"/>
                <w:kern w:val="0"/>
                <w:sz w:val="24"/>
                <w:szCs w:val="22"/>
              </w:rPr>
            </w:pPr>
            <w:r>
              <w:rPr>
                <w:rFonts w:hint="default" w:ascii="Times New Roman" w:hAnsi="Times New Roman" w:eastAsia="宋体" w:cs="Times New Roman"/>
                <w:b/>
                <w:bCs/>
                <w:color w:val="auto"/>
                <w:kern w:val="0"/>
                <w:sz w:val="24"/>
                <w:szCs w:val="22"/>
                <w:lang w:val="en-US" w:eastAsia="zh-CN"/>
              </w:rPr>
              <w:t>5</w:t>
            </w:r>
            <w:r>
              <w:rPr>
                <w:rFonts w:hint="default" w:ascii="Times New Roman" w:hAnsi="Times New Roman" w:eastAsia="宋体" w:cs="Times New Roman"/>
                <w:b/>
                <w:bCs/>
                <w:color w:val="auto"/>
                <w:kern w:val="0"/>
                <w:sz w:val="24"/>
                <w:szCs w:val="22"/>
              </w:rPr>
              <w:t>、生态环境</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r>
              <w:rPr>
                <w:rFonts w:hint="default" w:ascii="Times New Roman" w:hAnsi="Times New Roman" w:eastAsia="宋体" w:cs="Times New Roman"/>
                <w:snapToGrid w:val="0"/>
                <w:color w:val="auto"/>
                <w:spacing w:val="0"/>
                <w:sz w:val="24"/>
                <w:lang w:val="en-US" w:eastAsia="zh-CN"/>
              </w:rPr>
              <w:t>本项目所在区域人类活动较为频繁，动物主要为一些鸟类及小型啮齿类动物等，无大型野生动物，爬行类动物主要有花背蟾蜍、黑斑蛙和蛇类等。在现场踏勘及走访过程中，未发现珍稀、濒危或国家及自治区级保护动物的栖息地和繁殖地分布。植被主要为农业栽培植被、人工林、灌木林植被。</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r>
              <w:rPr>
                <w:rFonts w:hint="default" w:ascii="Times New Roman" w:hAnsi="Times New Roman" w:eastAsia="宋体" w:cs="Times New Roman"/>
                <w:snapToGrid w:val="0"/>
                <w:color w:val="auto"/>
                <w:spacing w:val="0"/>
                <w:sz w:val="24"/>
                <w:lang w:val="en-US" w:eastAsia="zh-CN"/>
              </w:rPr>
              <w:t>根据《建设项目环境影响报告表编制技术指南》（污染影响类）（试行）“产业园区外建设项目新增用地且用地范围内含有生态环境保护目标时，应进行生态现状调查。”本项目位于</w:t>
            </w:r>
            <w:r>
              <w:rPr>
                <w:rFonts w:hint="eastAsia" w:cs="Times New Roman"/>
                <w:snapToGrid w:val="0"/>
                <w:color w:val="auto"/>
                <w:spacing w:val="0"/>
                <w:sz w:val="24"/>
                <w:lang w:val="en-US" w:eastAsia="zh-CN"/>
              </w:rPr>
              <w:t>宁夏中卫富贵养牛厂</w:t>
            </w:r>
            <w:r>
              <w:rPr>
                <w:rFonts w:hint="default" w:ascii="Times New Roman" w:hAnsi="Times New Roman" w:eastAsia="宋体" w:cs="Times New Roman"/>
                <w:snapToGrid w:val="0"/>
                <w:color w:val="auto"/>
                <w:spacing w:val="0"/>
                <w:sz w:val="24"/>
                <w:lang w:val="en-US" w:eastAsia="zh-CN"/>
              </w:rPr>
              <w:t>现有厂区闲置空地，不新增用地且用地范围内不含生态环境保护目标，因此不进行生态现状深入调查。</w:t>
            </w: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p>
            <w:pPr>
              <w:pStyle w:val="15"/>
              <w:adjustRightInd w:val="0"/>
              <w:snapToGrid w:val="0"/>
              <w:spacing w:line="360" w:lineRule="auto"/>
              <w:ind w:firstLine="480" w:firstLineChars="200"/>
              <w:rPr>
                <w:rFonts w:hint="default" w:ascii="Times New Roman" w:hAnsi="Times New Roman" w:eastAsia="宋体" w:cs="Times New Roman"/>
                <w:snapToGrid w:val="0"/>
                <w:color w:val="auto"/>
                <w:spacing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3291"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highlight w:val="none"/>
              </w:rPr>
              <w:t>环境保护目标</w:t>
            </w:r>
          </w:p>
        </w:tc>
        <w:tc>
          <w:tcPr>
            <w:tcW w:w="8415" w:type="dxa"/>
            <w:noWrap w:val="0"/>
            <w:vAlign w:val="center"/>
          </w:tcPr>
          <w:p>
            <w:pPr>
              <w:adjustRightInd w:val="0"/>
              <w:snapToGrid w:val="0"/>
              <w:spacing w:line="360" w:lineRule="auto"/>
              <w:ind w:firstLine="482" w:firstLineChars="200"/>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1、大气环境保护目标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经调查，项目周边500m范围大气环境保护目标</w:t>
            </w:r>
            <w:r>
              <w:rPr>
                <w:rFonts w:hint="default" w:ascii="Times New Roman" w:hAnsi="Times New Roman" w:eastAsia="宋体" w:cs="Times New Roman"/>
                <w:color w:val="auto"/>
                <w:sz w:val="24"/>
                <w:szCs w:val="24"/>
                <w:highlight w:val="none"/>
                <w:lang w:val="en-US" w:eastAsia="zh-CN"/>
              </w:rPr>
              <w:t>主要为</w:t>
            </w:r>
            <w:r>
              <w:rPr>
                <w:rFonts w:hint="eastAsia" w:cs="Times New Roman"/>
                <w:color w:val="auto"/>
                <w:sz w:val="24"/>
                <w:szCs w:val="24"/>
                <w:highlight w:val="none"/>
                <w:lang w:val="en-US" w:eastAsia="zh-CN"/>
              </w:rPr>
              <w:t>刘湾村村民。</w:t>
            </w:r>
          </w:p>
          <w:p>
            <w:pPr>
              <w:adjustRightInd w:val="0"/>
              <w:snapToGrid w:val="0"/>
              <w:spacing w:line="360" w:lineRule="auto"/>
              <w:ind w:firstLine="482"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color w:val="auto"/>
                <w:sz w:val="24"/>
                <w:szCs w:val="24"/>
                <w:highlight w:val="none"/>
              </w:rPr>
              <w:t>2、声环境保护目标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t>根据现场调查，项目周边50m范围内无声环境敏感目标。</w:t>
            </w:r>
          </w:p>
          <w:p>
            <w:pPr>
              <w:numPr>
                <w:ilvl w:val="0"/>
                <w:numId w:val="4"/>
              </w:numPr>
              <w:adjustRightInd w:val="0"/>
              <w:snapToGrid w:val="0"/>
              <w:spacing w:line="360" w:lineRule="auto"/>
              <w:ind w:left="0" w:leftChars="0" w:firstLine="482" w:firstLineChars="200"/>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地表水环境保护目标</w:t>
            </w:r>
          </w:p>
          <w:p>
            <w:pPr>
              <w:keepNext w:val="0"/>
              <w:keepLines w:val="0"/>
              <w:pageBreakBefore w:val="0"/>
              <w:widowControl/>
              <w:suppressLineNumbers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bidi="ar"/>
              </w:rPr>
              <w:t>本项目所在区域主要地表水体为黄河水（N，</w:t>
            </w:r>
            <w:r>
              <w:rPr>
                <w:rFonts w:hint="eastAsia" w:cs="Times New Roman"/>
                <w:color w:val="auto"/>
                <w:kern w:val="0"/>
                <w:sz w:val="24"/>
                <w:szCs w:val="24"/>
                <w:highlight w:val="none"/>
                <w:lang w:val="en-US" w:eastAsia="zh-CN" w:bidi="ar"/>
              </w:rPr>
              <w:t>1.02</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羚羊寿渠</w:t>
            </w:r>
            <w:r>
              <w:rPr>
                <w:rFonts w:hint="default" w:ascii="Times New Roman" w:hAnsi="Times New Roman" w:eastAsia="宋体" w:cs="Times New Roman"/>
                <w:color w:val="auto"/>
                <w:kern w:val="0"/>
                <w:sz w:val="24"/>
                <w:szCs w:val="24"/>
                <w:highlight w:val="none"/>
                <w:lang w:val="en-US" w:eastAsia="zh-CN" w:bidi="ar"/>
              </w:rPr>
              <w:t>（</w:t>
            </w:r>
            <w:r>
              <w:rPr>
                <w:rFonts w:hint="eastAsia" w:cs="Times New Roman"/>
                <w:color w:val="auto"/>
                <w:kern w:val="0"/>
                <w:sz w:val="24"/>
                <w:szCs w:val="24"/>
                <w:highlight w:val="none"/>
                <w:lang w:val="en-US" w:eastAsia="zh-CN" w:bidi="ar"/>
              </w:rPr>
              <w:t>S</w:t>
            </w:r>
            <w:r>
              <w:rPr>
                <w:rFonts w:hint="default" w:ascii="Times New Roman" w:hAnsi="Times New Roman" w:eastAsia="宋体" w:cs="Times New Roman"/>
                <w:color w:val="auto"/>
                <w:kern w:val="0"/>
                <w:sz w:val="24"/>
                <w:szCs w:val="24"/>
                <w:highlight w:val="none"/>
                <w:lang w:val="en-US" w:eastAsia="zh-CN" w:bidi="ar"/>
              </w:rPr>
              <w:t>，0.</w:t>
            </w:r>
            <w:r>
              <w:rPr>
                <w:rFonts w:hint="eastAsia" w:cs="Times New Roman"/>
                <w:color w:val="auto"/>
                <w:kern w:val="0"/>
                <w:sz w:val="24"/>
                <w:szCs w:val="24"/>
                <w:highlight w:val="none"/>
                <w:lang w:val="en-US" w:eastAsia="zh-CN" w:bidi="ar"/>
              </w:rPr>
              <w:t>56</w:t>
            </w:r>
            <w:r>
              <w:rPr>
                <w:rFonts w:hint="default" w:ascii="Times New Roman" w:hAnsi="Times New Roman" w:eastAsia="宋体" w:cs="Times New Roman"/>
                <w:color w:val="auto"/>
                <w:kern w:val="0"/>
                <w:sz w:val="24"/>
                <w:szCs w:val="24"/>
                <w:highlight w:val="none"/>
                <w:lang w:val="en-US" w:eastAsia="zh-CN" w:bidi="ar"/>
              </w:rPr>
              <w:t>km）</w:t>
            </w:r>
            <w:r>
              <w:rPr>
                <w:rFonts w:hint="eastAsia" w:cs="Times New Roman"/>
                <w:color w:val="auto"/>
                <w:kern w:val="0"/>
                <w:sz w:val="24"/>
                <w:szCs w:val="24"/>
                <w:highlight w:val="none"/>
                <w:lang w:val="en-US" w:eastAsia="zh-CN" w:bidi="ar"/>
              </w:rPr>
              <w:t>以及永丰渠（N，0.26）</w:t>
            </w:r>
            <w:r>
              <w:rPr>
                <w:rFonts w:hint="default" w:ascii="Times New Roman" w:hAnsi="Times New Roman" w:eastAsia="宋体" w:cs="Times New Roman"/>
                <w:color w:val="auto"/>
                <w:kern w:val="0"/>
                <w:sz w:val="24"/>
                <w:szCs w:val="24"/>
                <w:highlight w:val="none"/>
                <w:lang w:val="en-US" w:eastAsia="zh-CN" w:bidi="ar"/>
              </w:rPr>
              <w:t>，其中黄河中卫段水质执行《地表水环境质量标准》（GB3838-2002）中Ⅱ类标准；</w:t>
            </w:r>
            <w:r>
              <w:rPr>
                <w:rFonts w:hint="eastAsia" w:cs="Times New Roman"/>
                <w:color w:val="auto"/>
                <w:kern w:val="0"/>
                <w:sz w:val="24"/>
                <w:szCs w:val="24"/>
                <w:highlight w:val="none"/>
                <w:lang w:val="en-US" w:eastAsia="zh-CN" w:bidi="ar"/>
              </w:rPr>
              <w:t>羚羊寿渠</w:t>
            </w:r>
            <w:r>
              <w:rPr>
                <w:rFonts w:hint="default" w:ascii="Times New Roman" w:hAnsi="Times New Roman" w:eastAsia="宋体" w:cs="Times New Roman"/>
                <w:color w:val="auto"/>
                <w:kern w:val="0"/>
                <w:sz w:val="24"/>
                <w:szCs w:val="24"/>
                <w:highlight w:val="none"/>
                <w:lang w:val="en-US" w:eastAsia="zh-CN" w:bidi="ar"/>
              </w:rPr>
              <w:t>及</w:t>
            </w:r>
            <w:r>
              <w:rPr>
                <w:rFonts w:hint="eastAsia" w:cs="Times New Roman"/>
                <w:color w:val="auto"/>
                <w:kern w:val="0"/>
                <w:sz w:val="24"/>
                <w:szCs w:val="24"/>
                <w:highlight w:val="none"/>
                <w:lang w:val="en-US" w:eastAsia="zh-CN" w:bidi="ar"/>
              </w:rPr>
              <w:t>永丰渠</w:t>
            </w:r>
            <w:r>
              <w:rPr>
                <w:rFonts w:hint="default" w:ascii="Times New Roman" w:hAnsi="Times New Roman" w:eastAsia="宋体" w:cs="Times New Roman"/>
                <w:color w:val="auto"/>
                <w:kern w:val="0"/>
                <w:sz w:val="24"/>
                <w:szCs w:val="24"/>
                <w:highlight w:val="none"/>
                <w:lang w:val="en-US" w:eastAsia="zh-CN" w:bidi="ar"/>
              </w:rPr>
              <w:t>执行《地表水环境质量标准》（GB3838-2002）中Ⅳ类标准。</w:t>
            </w:r>
          </w:p>
          <w:p>
            <w:pPr>
              <w:adjustRightInd w:val="0"/>
              <w:snapToGrid w:val="0"/>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4、</w:t>
            </w:r>
            <w:r>
              <w:rPr>
                <w:rFonts w:hint="default" w:ascii="Times New Roman" w:hAnsi="Times New Roman" w:eastAsia="宋体" w:cs="Times New Roman"/>
                <w:b/>
                <w:bCs/>
                <w:color w:val="auto"/>
                <w:sz w:val="24"/>
                <w:szCs w:val="24"/>
              </w:rPr>
              <w:t>地下水环境保护目标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本项目厂界500米范围内无地下水集中式饮用水水源和热水、矿泉水、温泉等特殊地下水资源</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无地下水环境保护目标。</w:t>
            </w:r>
          </w:p>
          <w:p>
            <w:pPr>
              <w:adjustRightInd w:val="0"/>
              <w:snapToGrid w:val="0"/>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5</w:t>
            </w:r>
            <w:r>
              <w:rPr>
                <w:rFonts w:hint="default" w:ascii="Times New Roman" w:hAnsi="Times New Roman" w:eastAsia="宋体" w:cs="Times New Roman"/>
                <w:b/>
                <w:bCs/>
                <w:color w:val="auto"/>
                <w:sz w:val="24"/>
                <w:szCs w:val="24"/>
              </w:rPr>
              <w:t>、生态环境保护目标</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本项目位于</w:t>
            </w:r>
            <w:r>
              <w:rPr>
                <w:rFonts w:hint="eastAsia" w:cs="Times New Roman"/>
                <w:snapToGrid w:val="0"/>
                <w:color w:val="auto"/>
                <w:spacing w:val="0"/>
                <w:sz w:val="24"/>
                <w:szCs w:val="24"/>
                <w:lang w:val="en-US" w:eastAsia="zh-CN"/>
              </w:rPr>
              <w:t>宁夏中卫富贵养牛厂</w:t>
            </w:r>
            <w:r>
              <w:rPr>
                <w:rFonts w:hint="default" w:ascii="Times New Roman" w:hAnsi="Times New Roman" w:eastAsia="宋体" w:cs="Times New Roman"/>
                <w:snapToGrid w:val="0"/>
                <w:color w:val="auto"/>
                <w:spacing w:val="0"/>
                <w:sz w:val="24"/>
                <w:szCs w:val="24"/>
                <w:lang w:val="en-US" w:eastAsia="zh-CN"/>
              </w:rPr>
              <w:t>现有厂区闲置空地。</w:t>
            </w:r>
            <w:r>
              <w:rPr>
                <w:rFonts w:hint="default" w:ascii="Times New Roman" w:hAnsi="Times New Roman" w:eastAsia="宋体" w:cs="Times New Roman"/>
                <w:color w:val="auto"/>
                <w:sz w:val="24"/>
                <w:szCs w:val="24"/>
                <w:lang w:val="en-US" w:eastAsia="zh-CN"/>
              </w:rPr>
              <w:t>根据调查，项目用地范围内及周边主要以人工绿化为主，不涉及珍稀保护野生动植物，厂区周边</w:t>
            </w:r>
            <w:r>
              <w:rPr>
                <w:rFonts w:hint="default" w:ascii="Times New Roman" w:hAnsi="Times New Roman" w:eastAsia="宋体" w:cs="Times New Roman"/>
                <w:color w:val="auto"/>
                <w:sz w:val="24"/>
                <w:szCs w:val="24"/>
              </w:rPr>
              <w:t>无生态环境保护目标。</w:t>
            </w:r>
          </w:p>
          <w:p>
            <w:pPr>
              <w:pStyle w:val="6"/>
              <w:keepNext/>
              <w:keepLines/>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b w:val="0"/>
                <w:color w:val="auto"/>
                <w:kern w:val="2"/>
                <w:sz w:val="24"/>
                <w:szCs w:val="24"/>
                <w:lang w:val="en-US" w:eastAsia="zh-CN" w:bidi="ar-SA"/>
              </w:rPr>
            </w:pPr>
            <w:r>
              <w:rPr>
                <w:rFonts w:hint="default" w:ascii="Times New Roman" w:hAnsi="Times New Roman" w:eastAsia="宋体" w:cs="Times New Roman"/>
                <w:b w:val="0"/>
                <w:color w:val="auto"/>
                <w:kern w:val="2"/>
                <w:sz w:val="24"/>
                <w:szCs w:val="24"/>
                <w:lang w:val="en-US" w:eastAsia="zh-CN" w:bidi="ar-SA"/>
              </w:rPr>
              <w:t>各环境要素保护目标具体情况见表3-</w:t>
            </w:r>
            <w:r>
              <w:rPr>
                <w:rFonts w:hint="eastAsia" w:ascii="Times New Roman" w:hAnsi="Times New Roman" w:eastAsia="宋体" w:cs="Times New Roman"/>
                <w:b w:val="0"/>
                <w:color w:val="auto"/>
                <w:kern w:val="2"/>
                <w:sz w:val="24"/>
                <w:szCs w:val="24"/>
                <w:lang w:val="en-US" w:eastAsia="zh-CN" w:bidi="ar-SA"/>
              </w:rPr>
              <w:t>3</w:t>
            </w:r>
            <w:r>
              <w:rPr>
                <w:rFonts w:hint="default" w:ascii="Times New Roman" w:hAnsi="Times New Roman" w:eastAsia="宋体" w:cs="Times New Roman"/>
                <w:b w:val="0"/>
                <w:color w:val="auto"/>
                <w:kern w:val="2"/>
                <w:sz w:val="24"/>
                <w:szCs w:val="24"/>
                <w:lang w:val="en-US" w:eastAsia="zh-CN" w:bidi="ar-SA"/>
              </w:rPr>
              <w:t>，环境保护目标分布见图3-2，本项目与黄河位置关系见图3-3。</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4"/>
                <w:lang w:val="en-US" w:eastAsia="zh-CN" w:bidi="ar-SA"/>
              </w:rPr>
            </w:pPr>
            <w:r>
              <w:rPr>
                <w:rFonts w:hint="default" w:ascii="Times New Roman" w:hAnsi="Times New Roman" w:eastAsia="宋体" w:cs="Times New Roman"/>
                <w:b/>
                <w:bCs/>
                <w:color w:val="auto"/>
                <w:kern w:val="2"/>
                <w:sz w:val="21"/>
                <w:szCs w:val="24"/>
                <w:lang w:val="en-US" w:eastAsia="zh-CN" w:bidi="ar-SA"/>
              </w:rPr>
              <w:t>表3-</w:t>
            </w:r>
            <w:r>
              <w:rPr>
                <w:rFonts w:hint="eastAsia" w:cs="Times New Roman"/>
                <w:b/>
                <w:bCs/>
                <w:color w:val="auto"/>
                <w:kern w:val="2"/>
                <w:sz w:val="21"/>
                <w:szCs w:val="24"/>
                <w:lang w:val="en-US" w:eastAsia="zh-CN" w:bidi="ar-SA"/>
              </w:rPr>
              <w:t>3</w:t>
            </w:r>
            <w:r>
              <w:rPr>
                <w:rFonts w:hint="default" w:ascii="Times New Roman" w:hAnsi="Times New Roman" w:eastAsia="宋体" w:cs="Times New Roman"/>
                <w:b/>
                <w:bCs/>
                <w:color w:val="auto"/>
                <w:kern w:val="2"/>
                <w:sz w:val="21"/>
                <w:szCs w:val="24"/>
                <w:lang w:val="en-US" w:eastAsia="zh-CN" w:bidi="ar-SA"/>
              </w:rPr>
              <w:t xml:space="preserve">  本项目环境保护目标具体情况一览表</w:t>
            </w:r>
          </w:p>
          <w:tbl>
            <w:tblPr>
              <w:tblStyle w:val="23"/>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07"/>
              <w:gridCol w:w="1549"/>
              <w:gridCol w:w="1335"/>
              <w:gridCol w:w="890"/>
              <w:gridCol w:w="610"/>
              <w:gridCol w:w="720"/>
              <w:gridCol w:w="15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环境要素</w:t>
                  </w: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保护目标</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坐标</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保护对象</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环境功能区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方位</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距离</w:t>
                  </w:r>
                </w:p>
                <w:p>
                  <w:pPr>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vertAlign w:val="baseline"/>
                      <w:lang w:val="en-US" w:eastAsia="zh-CN"/>
                    </w:rPr>
                    <w:t>(km</w:t>
                  </w:r>
                  <w:r>
                    <w:rPr>
                      <w:rFonts w:hint="eastAsia" w:ascii="Times New Roman" w:hAnsi="Times New Roman" w:eastAsia="宋体" w:cs="Times New Roman"/>
                      <w:b/>
                      <w:bCs w:val="0"/>
                      <w:color w:val="auto"/>
                      <w:sz w:val="21"/>
                      <w:szCs w:val="21"/>
                      <w:vertAlign w:val="baseline"/>
                      <w:lang w:val="en-US" w:eastAsia="zh-CN"/>
                    </w:rPr>
                    <w:t>)</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保护要求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eastAsia" w:ascii="Times New Roman" w:hAnsi="Times New Roman" w:eastAsia="宋体" w:cs="Times New Roman"/>
                      <w:b/>
                      <w:bCs w:val="0"/>
                      <w:color w:val="auto"/>
                      <w:sz w:val="21"/>
                      <w:szCs w:val="21"/>
                      <w:vertAlign w:val="baseline"/>
                      <w:lang w:val="en-US" w:eastAsia="zh-CN"/>
                    </w:rPr>
                    <w:t>大气环境</w:t>
                  </w:r>
                </w:p>
              </w:tc>
              <w:tc>
                <w:tcPr>
                  <w:tcW w:w="807"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刘湾村</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105.28964017</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37.482010647</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刘湾村北部居民</w:t>
                  </w: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0.053</w:t>
                  </w:r>
                </w:p>
              </w:tc>
              <w:tc>
                <w:tcPr>
                  <w:tcW w:w="1500"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snapToGrid w:val="0"/>
                      <w:color w:val="auto"/>
                      <w:kern w:val="0"/>
                      <w:sz w:val="21"/>
                      <w:szCs w:val="21"/>
                      <w:highlight w:val="none"/>
                    </w:rPr>
                  </w:pPr>
                  <w:r>
                    <w:rPr>
                      <w:rFonts w:hint="default" w:ascii="Times New Roman" w:hAnsi="Times New Roman" w:eastAsia="宋体" w:cs="Times New Roman"/>
                      <w:b w:val="0"/>
                      <w:bCs/>
                      <w:snapToGrid w:val="0"/>
                      <w:color w:val="auto"/>
                      <w:kern w:val="0"/>
                      <w:sz w:val="21"/>
                      <w:szCs w:val="21"/>
                      <w:highlight w:val="none"/>
                    </w:rPr>
                    <w:t>《环境空气质量标准》</w:t>
                  </w:r>
                  <w:r>
                    <w:rPr>
                      <w:rFonts w:hint="default" w:ascii="Times New Roman" w:hAnsi="Times New Roman" w:eastAsia="宋体" w:cs="Times New Roman"/>
                      <w:b w:val="0"/>
                      <w:bCs/>
                      <w:snapToGrid w:val="0"/>
                      <w:color w:val="auto"/>
                      <w:kern w:val="0"/>
                      <w:sz w:val="21"/>
                      <w:szCs w:val="21"/>
                      <w:highlight w:val="none"/>
                      <w:lang w:eastAsia="zh-CN"/>
                    </w:rPr>
                    <w:t>（</w:t>
                  </w:r>
                  <w:r>
                    <w:rPr>
                      <w:rFonts w:hint="default" w:ascii="Times New Roman" w:hAnsi="Times New Roman" w:eastAsia="宋体" w:cs="Times New Roman"/>
                      <w:b w:val="0"/>
                      <w:bCs/>
                      <w:snapToGrid w:val="0"/>
                      <w:color w:val="auto"/>
                      <w:kern w:val="0"/>
                      <w:sz w:val="21"/>
                      <w:szCs w:val="21"/>
                      <w:highlight w:val="none"/>
                    </w:rPr>
                    <w:t>GB3095-2012</w:t>
                  </w:r>
                  <w:r>
                    <w:rPr>
                      <w:rFonts w:hint="default" w:ascii="Times New Roman" w:hAnsi="Times New Roman" w:eastAsia="宋体" w:cs="Times New Roman"/>
                      <w:b w:val="0"/>
                      <w:bCs/>
                      <w:snapToGrid w:val="0"/>
                      <w:color w:val="auto"/>
                      <w:kern w:val="0"/>
                      <w:sz w:val="21"/>
                      <w:szCs w:val="21"/>
                      <w:highlight w:val="none"/>
                      <w:lang w:eastAsia="zh-CN"/>
                    </w:rPr>
                    <w:t>）</w:t>
                  </w:r>
                  <w:r>
                    <w:rPr>
                      <w:rFonts w:hint="default" w:ascii="Times New Roman" w:hAnsi="Times New Roman" w:eastAsia="宋体" w:cs="Times New Roman"/>
                      <w:b w:val="0"/>
                      <w:bCs/>
                      <w:color w:val="auto"/>
                      <w:sz w:val="21"/>
                      <w:szCs w:val="21"/>
                      <w:highlight w:val="none"/>
                    </w:rPr>
                    <w:t>及2018年修改单中</w:t>
                  </w:r>
                  <w:r>
                    <w:rPr>
                      <w:rFonts w:hint="default" w:ascii="Times New Roman" w:hAnsi="Times New Roman" w:eastAsia="宋体" w:cs="Times New Roman"/>
                      <w:b w:val="0"/>
                      <w:bCs/>
                      <w:color w:val="auto"/>
                      <w:sz w:val="21"/>
                      <w:szCs w:val="21"/>
                      <w:highlight w:val="none"/>
                      <w:lang w:val="en-US" w:eastAsia="zh-CN"/>
                    </w:rPr>
                    <w:t>二</w:t>
                  </w:r>
                  <w:r>
                    <w:rPr>
                      <w:rFonts w:hint="default" w:ascii="Times New Roman" w:hAnsi="Times New Roman" w:eastAsia="宋体" w:cs="Times New Roman"/>
                      <w:b w:val="0"/>
                      <w:bCs/>
                      <w:color w:val="auto"/>
                      <w:sz w:val="21"/>
                      <w:szCs w:val="21"/>
                      <w:highlight w:val="none"/>
                    </w:rPr>
                    <w:t>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eastAsia" w:ascii="Times New Roman" w:hAnsi="Times New Roman" w:eastAsia="宋体" w:cs="Times New Roman"/>
                      <w:b/>
                      <w:bCs w:val="0"/>
                      <w:color w:val="auto"/>
                      <w:sz w:val="21"/>
                      <w:szCs w:val="21"/>
                      <w:vertAlign w:val="baseline"/>
                      <w:lang w:val="en-US" w:eastAsia="zh-CN"/>
                    </w:rPr>
                  </w:pPr>
                </w:p>
              </w:tc>
              <w:tc>
                <w:tcPr>
                  <w:tcW w:w="807"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eastAsia" w:ascii="Times New Roman" w:hAnsi="Times New Roman" w:eastAsia="宋体" w:cs="Times New Roman"/>
                      <w:b w:val="0"/>
                      <w:bCs/>
                      <w:color w:val="auto"/>
                      <w:sz w:val="21"/>
                      <w:szCs w:val="21"/>
                      <w:vertAlign w:val="baseline"/>
                      <w:lang w:val="en-US" w:eastAsia="zh-CN"/>
                    </w:rPr>
                  </w:pP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105.28876040</w:t>
                  </w:r>
                  <w:r>
                    <w:rPr>
                      <w:rFonts w:hint="default" w:ascii="Times New Roman" w:hAnsi="Times New Roman" w:eastAsia="宋体" w:cs="Times New Roman"/>
                      <w:b w:val="0"/>
                      <w:bCs/>
                      <w:color w:val="auto"/>
                      <w:sz w:val="21"/>
                      <w:szCs w:val="21"/>
                      <w:vertAlign w:val="baseline"/>
                      <w:lang w:val="en-US" w:eastAsia="zh-CN"/>
                    </w:rPr>
                    <w:br w:type="textWrapping"/>
                  </w:r>
                  <w:r>
                    <w:rPr>
                      <w:rFonts w:hint="default" w:ascii="Times New Roman" w:hAnsi="Times New Roman" w:eastAsia="宋体" w:cs="Times New Roman"/>
                      <w:b w:val="0"/>
                      <w:bCs/>
                      <w:color w:val="auto"/>
                      <w:sz w:val="21"/>
                      <w:szCs w:val="21"/>
                      <w:vertAlign w:val="baseline"/>
                      <w:lang w:val="en-US" w:eastAsia="zh-CN"/>
                    </w:rPr>
                    <w:t>37.478416487</w:t>
                  </w:r>
                </w:p>
              </w:tc>
              <w:tc>
                <w:tcPr>
                  <w:tcW w:w="1335"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刘湾村南部居民</w:t>
                  </w: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二类区</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S</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0.16</w:t>
                  </w:r>
                </w:p>
              </w:tc>
              <w:tc>
                <w:tcPr>
                  <w:tcW w:w="1500"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snapToGrid w:val="0"/>
                      <w:color w:val="auto"/>
                      <w:kern w:val="0"/>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声环境</w:t>
                  </w:r>
                </w:p>
              </w:tc>
              <w:tc>
                <w:tcPr>
                  <w:tcW w:w="5911" w:type="dxa"/>
                  <w:gridSpan w:val="6"/>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周边50m范围内无声环境敏感目标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restart"/>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地表水</w:t>
                  </w: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黄河水</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105.42496336</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37.465497693</w:t>
                  </w:r>
                </w:p>
              </w:tc>
              <w:tc>
                <w:tcPr>
                  <w:tcW w:w="1335"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地表水体</w:t>
                  </w:r>
                  <w:r>
                    <w:rPr>
                      <w:rFonts w:hint="default" w:ascii="Times New Roman" w:hAnsi="Times New Roman" w:eastAsia="宋体" w:cs="Times New Roman"/>
                      <w:b w:val="0"/>
                      <w:bCs/>
                      <w:color w:val="auto"/>
                      <w:sz w:val="21"/>
                      <w:szCs w:val="21"/>
                      <w:highlight w:val="none"/>
                      <w:lang w:eastAsia="zh-CN"/>
                    </w:rPr>
                    <w:t>（</w:t>
                  </w:r>
                  <w:r>
                    <w:rPr>
                      <w:rFonts w:hint="default" w:ascii="Times New Roman" w:hAnsi="Times New Roman" w:eastAsia="宋体" w:cs="Times New Roman"/>
                      <w:b w:val="0"/>
                      <w:bCs/>
                      <w:color w:val="auto"/>
                      <w:sz w:val="21"/>
                      <w:szCs w:val="21"/>
                      <w:highlight w:val="none"/>
                      <w:lang w:val="en-US" w:eastAsia="zh-CN"/>
                    </w:rPr>
                    <w:t>本项目</w:t>
                  </w:r>
                  <w:r>
                    <w:rPr>
                      <w:rFonts w:hint="default" w:ascii="Times New Roman" w:hAnsi="Times New Roman" w:eastAsia="宋体" w:cs="Times New Roman"/>
                      <w:b w:val="0"/>
                      <w:bCs/>
                      <w:color w:val="auto"/>
                      <w:sz w:val="21"/>
                      <w:szCs w:val="21"/>
                      <w:highlight w:val="none"/>
                    </w:rPr>
                    <w:t>不向其直接排放废</w:t>
                  </w:r>
                  <w:r>
                    <w:rPr>
                      <w:rFonts w:hint="default" w:ascii="Times New Roman" w:hAnsi="Times New Roman" w:eastAsia="宋体" w:cs="Times New Roman"/>
                      <w:b w:val="0"/>
                      <w:bCs/>
                      <w:color w:val="auto"/>
                      <w:sz w:val="21"/>
                      <w:szCs w:val="21"/>
                      <w:highlight w:val="none"/>
                      <w:lang w:val="en-US" w:eastAsia="zh-CN"/>
                    </w:rPr>
                    <w:t>水</w:t>
                  </w:r>
                  <w:r>
                    <w:rPr>
                      <w:rFonts w:hint="default" w:ascii="Times New Roman" w:hAnsi="Times New Roman" w:eastAsia="宋体" w:cs="Times New Roman"/>
                      <w:b w:val="0"/>
                      <w:bCs/>
                      <w:color w:val="auto"/>
                      <w:sz w:val="21"/>
                      <w:szCs w:val="21"/>
                      <w:highlight w:val="none"/>
                      <w:lang w:eastAsia="zh-CN"/>
                    </w:rPr>
                    <w:t>）</w:t>
                  </w:r>
                </w:p>
              </w:tc>
              <w:tc>
                <w:tcPr>
                  <w:tcW w:w="89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Ⅱ类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1.02</w:t>
                  </w:r>
                </w:p>
              </w:tc>
              <w:tc>
                <w:tcPr>
                  <w:tcW w:w="1500" w:type="dxa"/>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rPr>
                    <w:t>《地表水环境质量标准》（GB3838-2002）中</w:t>
                  </w:r>
                  <w:r>
                    <w:rPr>
                      <w:rFonts w:hint="default" w:ascii="Times New Roman" w:hAnsi="Times New Roman" w:eastAsia="宋体" w:cs="Times New Roman"/>
                      <w:b w:val="0"/>
                      <w:bCs/>
                      <w:color w:val="auto"/>
                      <w:kern w:val="0"/>
                      <w:sz w:val="21"/>
                      <w:szCs w:val="21"/>
                      <w:highlight w:val="none"/>
                      <w:lang w:val="en-US" w:eastAsia="zh-CN"/>
                    </w:rPr>
                    <w:t>Ⅱ</w:t>
                  </w:r>
                  <w:r>
                    <w:rPr>
                      <w:rFonts w:hint="default" w:ascii="Times New Roman" w:hAnsi="Times New Roman" w:eastAsia="宋体" w:cs="Times New Roman"/>
                      <w:b w:val="0"/>
                      <w:bCs/>
                      <w:color w:val="auto"/>
                      <w:kern w:val="0"/>
                      <w:sz w:val="21"/>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羚羊寿渠</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105.42365444</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37.462279042</w:t>
                  </w:r>
                </w:p>
              </w:tc>
              <w:tc>
                <w:tcPr>
                  <w:tcW w:w="1335"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Ⅳ类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S</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0.56</w:t>
                  </w:r>
                </w:p>
              </w:tc>
              <w:tc>
                <w:tcPr>
                  <w:tcW w:w="1500" w:type="dxa"/>
                  <w:vMerge w:val="restart"/>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rPr>
                    <w:t>《地表水环境质量标准》（GB3838-2002）中Ⅳ类标准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88" w:type="dxa"/>
                  <w:vMerge w:val="continue"/>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p>
              </w:tc>
              <w:tc>
                <w:tcPr>
                  <w:tcW w:w="807"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永丰渠</w:t>
                  </w:r>
                </w:p>
              </w:tc>
              <w:tc>
                <w:tcPr>
                  <w:tcW w:w="1549"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105.407861598</w:t>
                  </w:r>
                </w:p>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37.497727116</w:t>
                  </w:r>
                </w:p>
              </w:tc>
              <w:tc>
                <w:tcPr>
                  <w:tcW w:w="1335" w:type="dxa"/>
                  <w:vMerge w:val="continue"/>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c>
                <w:tcPr>
                  <w:tcW w:w="890" w:type="dxa"/>
                  <w:vAlign w:val="center"/>
                </w:tcPr>
                <w:p>
                  <w:pPr>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highlight w:val="none"/>
                    </w:rPr>
                    <w:t>Ⅳ类</w:t>
                  </w:r>
                </w:p>
              </w:tc>
              <w:tc>
                <w:tcPr>
                  <w:tcW w:w="61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N</w:t>
                  </w:r>
                </w:p>
              </w:tc>
              <w:tc>
                <w:tcPr>
                  <w:tcW w:w="72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eastAsia" w:ascii="Times New Roman" w:hAnsi="Times New Roman" w:eastAsia="宋体" w:cs="Times New Roman"/>
                      <w:b w:val="0"/>
                      <w:bCs/>
                      <w:color w:val="auto"/>
                      <w:sz w:val="21"/>
                      <w:szCs w:val="21"/>
                      <w:vertAlign w:val="baseline"/>
                      <w:lang w:val="en-US" w:eastAsia="zh-CN"/>
                    </w:rPr>
                    <w:t>0.26</w:t>
                  </w:r>
                </w:p>
              </w:tc>
              <w:tc>
                <w:tcPr>
                  <w:tcW w:w="1500" w:type="dxa"/>
                  <w:vMerge w:val="continue"/>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地下水</w:t>
                  </w:r>
                </w:p>
              </w:tc>
              <w:tc>
                <w:tcPr>
                  <w:tcW w:w="5911" w:type="dxa"/>
                  <w:gridSpan w:val="6"/>
                  <w:vAlign w:val="center"/>
                </w:tcPr>
                <w:p>
                  <w:pPr>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rPr>
                    <w:t>本项目厂界500米范围内无地下水集中式饮用水水源和热水、矿泉水、温泉等特殊地下水资源</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无地下水环境保护目标</w:t>
                  </w:r>
                  <w:r>
                    <w:rPr>
                      <w:rFonts w:hint="default" w:ascii="Times New Roman" w:hAnsi="Times New Roman" w:eastAsia="宋体" w:cs="Times New Roman"/>
                      <w:b w:val="0"/>
                      <w:bCs/>
                      <w:color w:val="auto"/>
                      <w:sz w:val="21"/>
                      <w:szCs w:val="21"/>
                      <w:lang w:eastAsia="zh-CN"/>
                    </w:rPr>
                    <w:t>。</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不影响厂区周边地下水潜水含水层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8" w:type="dxa"/>
                  <w:vAlign w:val="center"/>
                </w:tcPr>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生态</w:t>
                  </w:r>
                </w:p>
                <w:p>
                  <w:pPr>
                    <w:pStyle w:val="6"/>
                    <w:keepNext/>
                    <w:keepLines/>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bCs w:val="0"/>
                      <w:color w:val="auto"/>
                      <w:sz w:val="21"/>
                      <w:szCs w:val="21"/>
                      <w:vertAlign w:val="baseline"/>
                      <w:lang w:val="en-US" w:eastAsia="zh-CN"/>
                    </w:rPr>
                  </w:pPr>
                  <w:r>
                    <w:rPr>
                      <w:rFonts w:hint="default" w:ascii="Times New Roman" w:hAnsi="Times New Roman" w:eastAsia="宋体" w:cs="Times New Roman"/>
                      <w:b/>
                      <w:bCs w:val="0"/>
                      <w:color w:val="auto"/>
                      <w:sz w:val="21"/>
                      <w:szCs w:val="21"/>
                      <w:vertAlign w:val="baseline"/>
                      <w:lang w:val="en-US" w:eastAsia="zh-CN"/>
                    </w:rPr>
                    <w:t>环境</w:t>
                  </w:r>
                </w:p>
              </w:tc>
              <w:tc>
                <w:tcPr>
                  <w:tcW w:w="5911" w:type="dxa"/>
                  <w:gridSpan w:val="6"/>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kern w:val="0"/>
                      <w:sz w:val="21"/>
                      <w:szCs w:val="21"/>
                      <w:highlight w:val="none"/>
                      <w:lang w:val="en-US" w:eastAsia="zh-CN"/>
                    </w:rPr>
                    <w:t>周边</w:t>
                  </w:r>
                  <w:r>
                    <w:rPr>
                      <w:rFonts w:hint="default" w:ascii="Times New Roman" w:hAnsi="Times New Roman" w:eastAsia="宋体" w:cs="Times New Roman"/>
                      <w:b w:val="0"/>
                      <w:bCs/>
                      <w:color w:val="auto"/>
                      <w:kern w:val="0"/>
                      <w:sz w:val="21"/>
                      <w:szCs w:val="21"/>
                      <w:highlight w:val="none"/>
                      <w:lang w:eastAsia="zh-CN"/>
                    </w:rPr>
                    <w:t>无生态环境保护目标</w:t>
                  </w:r>
                </w:p>
              </w:tc>
              <w:tc>
                <w:tcPr>
                  <w:tcW w:w="1500" w:type="dxa"/>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0" w:firstLineChars="0"/>
                    <w:jc w:val="center"/>
                    <w:textAlignment w:val="auto"/>
                    <w:rPr>
                      <w:rFonts w:hint="default" w:ascii="Times New Roman" w:hAnsi="Times New Roman" w:eastAsia="宋体" w:cs="Times New Roman"/>
                      <w:b w:val="0"/>
                      <w:bCs/>
                      <w:color w:val="auto"/>
                      <w:sz w:val="21"/>
                      <w:szCs w:val="21"/>
                      <w:vertAlign w:val="baseline"/>
                      <w:lang w:val="en-US" w:eastAsia="zh-CN"/>
                    </w:rPr>
                  </w:pPr>
                  <w:r>
                    <w:rPr>
                      <w:rFonts w:hint="default" w:ascii="Times New Roman" w:hAnsi="Times New Roman" w:eastAsia="宋体" w:cs="Times New Roman"/>
                      <w:b w:val="0"/>
                      <w:bCs/>
                      <w:color w:val="auto"/>
                      <w:sz w:val="21"/>
                      <w:szCs w:val="21"/>
                      <w:vertAlign w:val="baseline"/>
                      <w:lang w:val="en-US" w:eastAsia="zh-CN"/>
                    </w:rPr>
                    <w:t>不破坏周边生态环境。</w:t>
                  </w:r>
                </w:p>
              </w:tc>
            </w:tr>
          </w:tbl>
          <w:p>
            <w:pPr>
              <w:pStyle w:val="6"/>
              <w:rPr>
                <w:rFonts w:hint="default" w:ascii="Times New Roman" w:hAnsi="Times New Roman" w:eastAsia="宋体" w:cs="Times New Roman"/>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5569" w:hRule="atLeast"/>
          <w:jc w:val="center"/>
        </w:trPr>
        <w:tc>
          <w:tcPr>
            <w:tcW w:w="533" w:type="dxa"/>
            <w:noWrap w:val="0"/>
            <w:tcMar>
              <w:left w:w="28" w:type="dxa"/>
              <w:right w:w="28" w:type="dxa"/>
            </w:tcMar>
            <w:vAlign w:val="center"/>
          </w:tcPr>
          <w:p>
            <w:pPr>
              <w:adjustRightInd w:val="0"/>
              <w:snapToGrid w:val="0"/>
              <w:jc w:val="center"/>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kern w:val="0"/>
                <w:sz w:val="24"/>
              </w:rPr>
              <w:t>污染物排放控制标准</w:t>
            </w:r>
          </w:p>
        </w:tc>
        <w:tc>
          <w:tcPr>
            <w:tcW w:w="8415" w:type="dxa"/>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1、废气</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（1）颗粒物无组织排放标准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本项目施工期、运营期产生的粉尘均执行《</w:t>
            </w:r>
            <w:r>
              <w:rPr>
                <w:rFonts w:hint="eastAsia" w:cs="Times New Roman"/>
                <w:color w:val="auto"/>
                <w:sz w:val="24"/>
                <w:szCs w:val="24"/>
                <w:lang w:val="en-US" w:eastAsia="zh-CN"/>
              </w:rPr>
              <w:t>水泥工业大气污染物排放标准</w:t>
            </w:r>
            <w:r>
              <w:rPr>
                <w:rFonts w:hint="default" w:ascii="Times New Roman" w:hAnsi="Times New Roman" w:eastAsia="宋体" w:cs="Times New Roman"/>
                <w:color w:val="auto"/>
                <w:sz w:val="24"/>
                <w:szCs w:val="24"/>
                <w:lang w:val="en-US" w:eastAsia="zh-CN"/>
              </w:rPr>
              <w:t>》(GB</w:t>
            </w:r>
            <w:r>
              <w:rPr>
                <w:rFonts w:hint="eastAsia" w:cs="Times New Roman"/>
                <w:color w:val="auto"/>
                <w:sz w:val="24"/>
                <w:szCs w:val="24"/>
                <w:lang w:val="en-US" w:eastAsia="zh-CN"/>
              </w:rPr>
              <w:t xml:space="preserve"> 4915-2013</w:t>
            </w:r>
            <w:r>
              <w:rPr>
                <w:rFonts w:hint="default" w:ascii="Times New Roman" w:hAnsi="Times New Roman" w:eastAsia="宋体" w:cs="Times New Roman"/>
                <w:color w:val="auto"/>
                <w:sz w:val="24"/>
                <w:szCs w:val="24"/>
                <w:lang w:val="en-US" w:eastAsia="zh-CN"/>
              </w:rPr>
              <w:t>)“表</w:t>
            </w:r>
            <w:r>
              <w:rPr>
                <w:rFonts w:hint="eastAsia"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 xml:space="preserve"> </w:t>
            </w:r>
            <w:r>
              <w:rPr>
                <w:rFonts w:hint="eastAsia" w:cs="Times New Roman"/>
                <w:color w:val="auto"/>
                <w:sz w:val="24"/>
                <w:szCs w:val="24"/>
                <w:lang w:val="en-US" w:eastAsia="zh-CN"/>
              </w:rPr>
              <w:t>大气污染物无组织排放限值</w:t>
            </w:r>
            <w:r>
              <w:rPr>
                <w:rFonts w:hint="default" w:ascii="Times New Roman" w:hAnsi="Times New Roman" w:eastAsia="宋体" w:cs="Times New Roman"/>
                <w:color w:val="auto"/>
                <w:sz w:val="24"/>
                <w:szCs w:val="24"/>
                <w:lang w:val="en-US" w:eastAsia="zh-CN"/>
              </w:rPr>
              <w:t>”。具体标准限值见表3-</w:t>
            </w:r>
            <w:r>
              <w:rPr>
                <w:rFonts w:hint="eastAsia"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lang w:val="en-US" w:eastAsia="zh-CN"/>
              </w:rPr>
              <w:t>表3-</w:t>
            </w:r>
            <w:r>
              <w:rPr>
                <w:rFonts w:hint="eastAsia" w:cs="Times New Roman"/>
                <w:b/>
                <w:bCs/>
                <w:color w:val="auto"/>
                <w:sz w:val="21"/>
                <w:szCs w:val="21"/>
                <w:lang w:val="en-US" w:eastAsia="zh-CN"/>
              </w:rPr>
              <w:t>4</w:t>
            </w:r>
            <w:r>
              <w:rPr>
                <w:rFonts w:hint="default" w:ascii="Times New Roman" w:hAnsi="Times New Roman" w:eastAsia="宋体" w:cs="Times New Roman"/>
                <w:b/>
                <w:bCs/>
                <w:color w:val="auto"/>
                <w:sz w:val="21"/>
                <w:szCs w:val="21"/>
                <w:lang w:val="en-US" w:eastAsia="zh-CN"/>
              </w:rPr>
              <w:t xml:space="preserve">  大气污染物</w:t>
            </w:r>
            <w:r>
              <w:rPr>
                <w:rFonts w:hint="eastAsia" w:cs="Times New Roman"/>
                <w:b/>
                <w:bCs/>
                <w:color w:val="auto"/>
                <w:sz w:val="21"/>
                <w:szCs w:val="21"/>
                <w:lang w:val="en-US" w:eastAsia="zh-CN"/>
              </w:rPr>
              <w:t>无组织</w:t>
            </w:r>
            <w:r>
              <w:rPr>
                <w:rFonts w:hint="default" w:ascii="Times New Roman" w:hAnsi="Times New Roman" w:eastAsia="宋体" w:cs="Times New Roman"/>
                <w:b/>
                <w:bCs/>
                <w:color w:val="auto"/>
                <w:sz w:val="21"/>
                <w:szCs w:val="21"/>
                <w:lang w:val="en-US" w:eastAsia="zh-CN"/>
              </w:rPr>
              <w:t>排放标准限值</w:t>
            </w:r>
          </w:p>
          <w:tbl>
            <w:tblPr>
              <w:tblStyle w:val="22"/>
              <w:tblW w:w="4864" w:type="pct"/>
              <w:jc w:val="center"/>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73"/>
              <w:gridCol w:w="2975"/>
              <w:gridCol w:w="2975"/>
            </w:tblGrid>
            <w:tr>
              <w:tblPrEx>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0" w:type="dxa"/>
                  <w:tcBorders>
                    <w:top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污染物项目</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限值</w:t>
                  </w:r>
                </w:p>
              </w:tc>
              <w:tc>
                <w:tcPr>
                  <w:tcW w:w="298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bCs/>
                      <w:color w:val="auto"/>
                      <w:sz w:val="21"/>
                      <w:szCs w:val="21"/>
                      <w:lang w:val="en-US" w:eastAsia="zh-CN"/>
                    </w:rPr>
                  </w:pPr>
                  <w:r>
                    <w:rPr>
                      <w:rFonts w:hint="eastAsia" w:cs="Times New Roman"/>
                      <w:b/>
                      <w:bCs/>
                      <w:color w:val="auto"/>
                      <w:sz w:val="21"/>
                      <w:szCs w:val="21"/>
                      <w:lang w:val="en-US" w:eastAsia="zh-CN"/>
                    </w:rPr>
                    <w:t>限值含义</w:t>
                  </w:r>
                </w:p>
              </w:tc>
              <w:tc>
                <w:tcPr>
                  <w:tcW w:w="2981" w:type="dxa"/>
                  <w:tcBorders>
                    <w:top w:val="single" w:color="000000" w:sz="4" w:space="0"/>
                    <w:left w:val="single" w:color="000000" w:sz="4" w:space="0"/>
                    <w:bottom w:val="single" w:color="000000" w:sz="4" w:space="0"/>
                    <w:right w:val="nil"/>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ascii="Times New Roman" w:hAnsi="Times New Roman" w:eastAsia="宋体" w:cs="Times New Roman"/>
                      <w:b/>
                      <w:bCs/>
                      <w:color w:val="auto"/>
                      <w:sz w:val="21"/>
                      <w:szCs w:val="21"/>
                      <w:lang w:val="en-US" w:eastAsia="zh-CN"/>
                    </w:rPr>
                  </w:pPr>
                  <w:r>
                    <w:rPr>
                      <w:rFonts w:hint="eastAsia" w:cs="Times New Roman"/>
                      <w:b/>
                      <w:bCs/>
                      <w:color w:val="auto"/>
                      <w:sz w:val="21"/>
                      <w:szCs w:val="21"/>
                      <w:lang w:val="en-US" w:eastAsia="zh-CN"/>
                    </w:rPr>
                    <w:t>无组织排放监控位置</w:t>
                  </w:r>
                </w:p>
              </w:tc>
            </w:tr>
            <w:tr>
              <w:tblPrEx>
                <w:tblBorders>
                  <w:top w:val="single" w:color="auto" w:sz="12" w:space="0"/>
                  <w:left w:val="none" w:color="auto" w:sz="0"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0" w:type="dxa"/>
                  <w:tcBorders>
                    <w:top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颗粒物</w:t>
                  </w:r>
                </w:p>
              </w:tc>
              <w:tc>
                <w:tcPr>
                  <w:tcW w:w="674" w:type="dxa"/>
                  <w:tcBorders>
                    <w:top w:val="single" w:color="000000" w:sz="4" w:space="0"/>
                    <w:left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0.5</w:t>
                  </w:r>
                </w:p>
              </w:tc>
              <w:tc>
                <w:tcPr>
                  <w:tcW w:w="2981" w:type="dxa"/>
                  <w:tcBorders>
                    <w:top w:val="single" w:color="000000" w:sz="4" w:space="0"/>
                    <w:left w:val="single" w:color="000000" w:sz="4" w:space="0"/>
                    <w:bottom w:val="single" w:color="auto" w:sz="12" w:space="0"/>
                    <w:right w:val="single" w:color="000000" w:sz="4" w:space="0"/>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监控点与参照点总悬浮颗粒物（TSP）1小时浓度的差值</w:t>
                  </w:r>
                </w:p>
              </w:tc>
              <w:tc>
                <w:tcPr>
                  <w:tcW w:w="2981" w:type="dxa"/>
                  <w:tcBorders>
                    <w:top w:val="single" w:color="000000" w:sz="4" w:space="0"/>
                    <w:left w:val="single" w:color="000000" w:sz="4" w:space="0"/>
                    <w:bottom w:val="single" w:color="auto" w:sz="12" w:space="0"/>
                    <w:right w:val="nil"/>
                  </w:tcBorders>
                  <w:shd w:val="clear" w:color="auto" w:fill="auto"/>
                  <w:noWrap w:val="0"/>
                  <w:vAlign w:val="center"/>
                </w:tcPr>
                <w:p>
                  <w:pPr>
                    <w:pStyle w:val="51"/>
                    <w:framePr w:hSpace="0" w:wrap="auto" w:vAnchor="margin" w:hAnchor="text" w:xAlign="left" w:yAlign="inline"/>
                    <w:adjustRightInd w:val="0"/>
                    <w:snapToGrid w:val="0"/>
                    <w:spacing w:line="240" w:lineRule="auto"/>
                    <w:rPr>
                      <w:rFonts w:hint="default" w:cs="Times New Roman"/>
                      <w:b w:val="0"/>
                      <w:color w:val="auto"/>
                      <w:sz w:val="21"/>
                      <w:szCs w:val="21"/>
                      <w:lang w:val="en-US" w:eastAsia="zh-CN"/>
                    </w:rPr>
                  </w:pPr>
                  <w:r>
                    <w:rPr>
                      <w:rFonts w:hint="eastAsia" w:cs="Times New Roman"/>
                      <w:b w:val="0"/>
                      <w:color w:val="auto"/>
                      <w:sz w:val="21"/>
                      <w:szCs w:val="21"/>
                      <w:lang w:val="en-US" w:eastAsia="zh-CN"/>
                    </w:rPr>
                    <w:t>厂界外20m处上风向设参照点，下风向设监控点</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jc w:val="both"/>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2、废水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2"/>
                <w:lang w:val="en-US" w:eastAsia="zh-CN"/>
              </w:rPr>
            </w:pPr>
            <w:r>
              <w:rPr>
                <w:rFonts w:hint="default" w:ascii="Times New Roman" w:hAnsi="Times New Roman" w:eastAsia="宋体" w:cs="Times New Roman"/>
                <w:b w:val="0"/>
                <w:bCs w:val="0"/>
                <w:color w:val="auto"/>
                <w:sz w:val="24"/>
                <w:szCs w:val="24"/>
              </w:rPr>
              <w:t>生活污水经厂区旱厕堆肥后还田；</w:t>
            </w:r>
            <w:r>
              <w:rPr>
                <w:rFonts w:hint="default" w:ascii="Times New Roman" w:hAnsi="Times New Roman" w:eastAsia="宋体" w:cs="Times New Roman"/>
                <w:b w:val="0"/>
                <w:bCs w:val="0"/>
                <w:color w:val="auto"/>
                <w:sz w:val="24"/>
                <w:szCs w:val="22"/>
                <w:lang w:val="en-US" w:eastAsia="zh-CN"/>
              </w:rPr>
              <w:t>混凝土生产用水进入产品；车辆冲洗用水</w:t>
            </w:r>
            <w:r>
              <w:rPr>
                <w:rFonts w:hint="eastAsia" w:cs="Times New Roman"/>
                <w:b w:val="0"/>
                <w:bCs w:val="0"/>
                <w:color w:val="auto"/>
                <w:sz w:val="24"/>
                <w:szCs w:val="22"/>
                <w:lang w:val="en-US" w:eastAsia="zh-CN"/>
              </w:rPr>
              <w:t>及搅拌机清洗废水</w:t>
            </w:r>
            <w:r>
              <w:rPr>
                <w:rFonts w:hint="default" w:ascii="Times New Roman" w:hAnsi="Times New Roman" w:eastAsia="宋体" w:cs="Times New Roman"/>
                <w:b w:val="0"/>
                <w:bCs w:val="0"/>
                <w:color w:val="auto"/>
                <w:sz w:val="24"/>
                <w:szCs w:val="22"/>
                <w:lang w:val="en-US" w:eastAsia="zh-CN"/>
              </w:rPr>
              <w:t>设置临时沉淀池，废水经沉淀后回用于厂区道路洒水降尘；厂区道路洒水自然蒸发，不外排。</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3、噪声</w:t>
            </w:r>
          </w:p>
          <w:p>
            <w:pPr>
              <w:pStyle w:val="32"/>
              <w:keepNext w:val="0"/>
              <w:keepLines w:val="0"/>
              <w:pageBreakBefore w:val="0"/>
              <w:widowControl w:val="0"/>
              <w:kinsoku/>
              <w:wordWrap/>
              <w:overflowPunct/>
              <w:topLinePunct w:val="0"/>
              <w:autoSpaceDE/>
              <w:autoSpaceDN/>
              <w:bidi w:val="0"/>
              <w:adjustRightInd w:val="0"/>
              <w:snapToGrid w:val="0"/>
              <w:ind w:firstLine="484"/>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color w:val="auto"/>
              </w:rPr>
              <w:t>施工期噪声执行《建筑施工场界环境噪声排放标准》（GB 12523-2011）标准</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运营期噪声执行《工业企业厂界环境噪声排放标准》（GB 12348-2008）中的</w:t>
            </w:r>
            <w:r>
              <w:rPr>
                <w:rFonts w:hint="default" w:ascii="Times New Roman" w:hAnsi="Times New Roman" w:eastAsia="宋体" w:cs="Times New Roman"/>
                <w:color w:val="auto"/>
                <w:lang w:val="en-US" w:eastAsia="zh-CN"/>
              </w:rPr>
              <w:t>2</w:t>
            </w:r>
            <w:r>
              <w:rPr>
                <w:rFonts w:hint="default" w:ascii="Times New Roman" w:hAnsi="Times New Roman" w:eastAsia="宋体" w:cs="Times New Roman"/>
                <w:color w:val="auto"/>
              </w:rPr>
              <w:t>类区标准。</w:t>
            </w:r>
            <w:r>
              <w:rPr>
                <w:rFonts w:hint="default" w:ascii="Times New Roman" w:hAnsi="Times New Roman" w:eastAsia="宋体" w:cs="Times New Roman"/>
                <w:color w:val="auto"/>
                <w:sz w:val="24"/>
                <w:szCs w:val="22"/>
              </w:rPr>
              <w:t>详见表</w:t>
            </w:r>
            <w:r>
              <w:rPr>
                <w:rFonts w:hint="eastAsia" w:hAnsi="Times New Roman" w:eastAsia="宋体" w:cs="Times New Roman"/>
                <w:color w:val="auto"/>
                <w:sz w:val="24"/>
                <w:szCs w:val="22"/>
                <w:lang w:val="en-US" w:eastAsia="zh-CN"/>
              </w:rPr>
              <w:t>3-5</w:t>
            </w:r>
            <w:r>
              <w:rPr>
                <w:rFonts w:hint="default" w:ascii="Times New Roman" w:hAnsi="Times New Roman" w:eastAsia="宋体" w:cs="Times New Roman"/>
                <w:color w:val="auto"/>
                <w:sz w:val="24"/>
                <w:szCs w:val="22"/>
              </w:rPr>
              <w:t>。</w:t>
            </w:r>
          </w:p>
          <w:p>
            <w:pPr>
              <w:pStyle w:val="16"/>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w:t>
            </w:r>
            <w:r>
              <w:rPr>
                <w:rFonts w:hint="eastAsia" w:cs="Times New Roman"/>
                <w:b/>
                <w:bCs/>
                <w:color w:val="auto"/>
                <w:sz w:val="21"/>
                <w:szCs w:val="21"/>
                <w:lang w:val="en-US" w:eastAsia="zh-CN"/>
              </w:rPr>
              <w:t>3-5</w:t>
            </w:r>
            <w:r>
              <w:rPr>
                <w:rFonts w:hint="default" w:ascii="Times New Roman" w:hAnsi="Times New Roman" w:eastAsia="宋体" w:cs="Times New Roman"/>
                <w:b/>
                <w:bCs/>
                <w:color w:val="auto"/>
                <w:sz w:val="21"/>
                <w:szCs w:val="21"/>
                <w:lang w:val="en-US" w:eastAsia="zh-CN"/>
              </w:rPr>
              <w:t xml:space="preserve">  环境噪声排放标准限值表（单位：dB（A））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426"/>
              <w:gridCol w:w="1300"/>
              <w:gridCol w:w="1051"/>
              <w:gridCol w:w="10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vMerge w:val="restart"/>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b/>
                      <w:color w:val="auto"/>
                      <w:szCs w:val="21"/>
                      <w:lang w:val="en-US" w:eastAsia="zh-CN"/>
                    </w:rPr>
                    <w:t>阶段</w:t>
                  </w:r>
                </w:p>
              </w:tc>
              <w:tc>
                <w:tcPr>
                  <w:tcW w:w="3765" w:type="dxa"/>
                  <w:vMerge w:val="restart"/>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标准</w:t>
                  </w:r>
                </w:p>
              </w:tc>
              <w:tc>
                <w:tcPr>
                  <w:tcW w:w="1410" w:type="dxa"/>
                  <w:vMerge w:val="restart"/>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功能区</w:t>
                  </w:r>
                </w:p>
              </w:tc>
              <w:tc>
                <w:tcPr>
                  <w:tcW w:w="2270" w:type="dxa"/>
                  <w:gridSpan w:val="2"/>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噪声限值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p>
              </w:tc>
              <w:tc>
                <w:tcPr>
                  <w:tcW w:w="3765"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p>
              </w:tc>
              <w:tc>
                <w:tcPr>
                  <w:tcW w:w="1410"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p>
              </w:tc>
              <w:tc>
                <w:tcPr>
                  <w:tcW w:w="1135"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昼间</w:t>
                  </w:r>
                </w:p>
              </w:tc>
              <w:tc>
                <w:tcPr>
                  <w:tcW w:w="1135" w:type="dxa"/>
                  <w:noWrap w:val="0"/>
                  <w:vAlign w:val="center"/>
                </w:tcPr>
                <w:p>
                  <w:pPr>
                    <w:adjustRightInd w:val="0"/>
                    <w:snapToGrid w:val="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施工期</w:t>
                  </w:r>
                </w:p>
              </w:tc>
              <w:tc>
                <w:tcPr>
                  <w:tcW w:w="3765"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《建筑施工场界环境噪声排放标准》（GB 12523-2011）</w:t>
                  </w:r>
                </w:p>
              </w:tc>
              <w:tc>
                <w:tcPr>
                  <w:tcW w:w="1410"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类区</w:t>
                  </w:r>
                </w:p>
              </w:tc>
              <w:tc>
                <w:tcPr>
                  <w:tcW w:w="1135" w:type="dxa"/>
                  <w:tcBorders>
                    <w:top w:val="single" w:color="auto" w:sz="4" w:space="0"/>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70</w:t>
                  </w:r>
                </w:p>
              </w:tc>
              <w:tc>
                <w:tcPr>
                  <w:tcW w:w="1135" w:type="dxa"/>
                  <w:noWrap w:val="0"/>
                  <w:vAlign w:val="center"/>
                </w:tcPr>
                <w:p>
                  <w:pPr>
                    <w:adjustRightInd w:val="0"/>
                    <w:snapToGrid w:val="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87"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运营期</w:t>
                  </w:r>
                </w:p>
              </w:tc>
              <w:tc>
                <w:tcPr>
                  <w:tcW w:w="3765"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《工业企业厂界环境噪声排放标准》（GB12348-2008）</w:t>
                  </w:r>
                </w:p>
              </w:tc>
              <w:tc>
                <w:tcPr>
                  <w:tcW w:w="1410"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rPr>
                    <w:t>类区</w:t>
                  </w:r>
                </w:p>
              </w:tc>
              <w:tc>
                <w:tcPr>
                  <w:tcW w:w="1135" w:type="dxa"/>
                  <w:tcBorders>
                    <w:top w:val="single" w:color="auto" w:sz="4" w:space="0"/>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60</w:t>
                  </w:r>
                </w:p>
              </w:tc>
              <w:tc>
                <w:tcPr>
                  <w:tcW w:w="1135" w:type="dxa"/>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50</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bCs/>
                <w:color w:val="auto"/>
                <w:sz w:val="24"/>
                <w:szCs w:val="22"/>
              </w:rPr>
            </w:pPr>
            <w:r>
              <w:rPr>
                <w:rFonts w:hint="default" w:ascii="Times New Roman" w:hAnsi="Times New Roman" w:eastAsia="宋体" w:cs="Times New Roman"/>
                <w:b/>
                <w:bCs/>
                <w:color w:val="auto"/>
                <w:sz w:val="24"/>
                <w:szCs w:val="22"/>
              </w:rPr>
              <w:t>4、固废</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一般固体废物执行《中华人民共和国固体废物污染环境防治法》第二十条“</w:t>
            </w:r>
            <w:r>
              <w:rPr>
                <w:rFonts w:hint="default" w:ascii="Times New Roman" w:hAnsi="Times New Roman" w:eastAsia="宋体" w:cs="Times New Roman"/>
                <w:i w:val="0"/>
                <w:iCs w:val="0"/>
                <w:caps w:val="0"/>
                <w:color w:val="auto"/>
                <w:spacing w:val="0"/>
                <w:sz w:val="24"/>
                <w:szCs w:val="24"/>
                <w:highlight w:val="none"/>
                <w:shd w:val="clear" w:color="auto" w:fill="FFFFFF"/>
              </w:rPr>
              <w:t>产生、收集、贮存、运输、利用、处置固体废物的单位和其他生产经营者，应当采取防扬散、防流失、防渗漏或者其他防止污染环境的措施，不得擅自倾倒、堆放、丢弃、遗撒固体废物</w:t>
            </w:r>
            <w:r>
              <w:rPr>
                <w:rFonts w:hint="default" w:ascii="Times New Roman" w:hAnsi="Times New Roman" w:eastAsia="宋体" w:cs="Times New Roman"/>
                <w:i w:val="0"/>
                <w:iCs w:val="0"/>
                <w:caps w:val="0"/>
                <w:color w:val="auto"/>
                <w:spacing w:val="0"/>
                <w:sz w:val="24"/>
                <w:szCs w:val="24"/>
                <w:highlight w:val="none"/>
                <w:shd w:val="clear" w:color="auto" w:fill="FFFFFF"/>
                <w:lang w:eastAsia="zh-CN"/>
              </w:rPr>
              <w:t>。”</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lang w:val="en-US" w:eastAsia="zh-CN"/>
              </w:rPr>
            </w:pPr>
            <w:r>
              <w:rPr>
                <w:rFonts w:hint="eastAsia" w:cs="Times New Roman"/>
                <w:color w:val="auto"/>
                <w:kern w:val="0"/>
                <w:sz w:val="24"/>
                <w:lang w:val="en-US" w:eastAsia="zh-CN"/>
              </w:rPr>
              <w:t>厂区内不设置设备维修点，无废机油产生，不涉及危险废物管理要求。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7442" w:hRule="atLeast"/>
          <w:jc w:val="center"/>
        </w:trPr>
        <w:tc>
          <w:tcPr>
            <w:tcW w:w="533" w:type="dxa"/>
            <w:noWrap w:val="0"/>
            <w:vAlign w:val="center"/>
          </w:tcPr>
          <w:p>
            <w:pPr>
              <w:adjustRightInd w:val="0"/>
              <w:snapToGrid w:val="0"/>
              <w:jc w:val="center"/>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总量</w:t>
            </w:r>
          </w:p>
          <w:p>
            <w:pPr>
              <w:adjustRightInd w:val="0"/>
              <w:snapToGrid w:val="0"/>
              <w:jc w:val="center"/>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控制</w:t>
            </w:r>
          </w:p>
          <w:p>
            <w:pPr>
              <w:adjustRightInd w:val="0"/>
              <w:snapToGrid w:val="0"/>
              <w:jc w:val="center"/>
              <w:rPr>
                <w:rFonts w:hint="default" w:ascii="Times New Roman" w:hAnsi="Times New Roman" w:eastAsia="宋体" w:cs="Times New Roman"/>
                <w:b/>
                <w:bCs/>
                <w:color w:val="auto"/>
                <w:kern w:val="0"/>
                <w:sz w:val="24"/>
                <w:highlight w:val="yellow"/>
              </w:rPr>
            </w:pPr>
            <w:r>
              <w:rPr>
                <w:rFonts w:hint="default" w:ascii="Times New Roman" w:hAnsi="Times New Roman" w:eastAsia="宋体" w:cs="Times New Roman"/>
                <w:b/>
                <w:bCs/>
                <w:color w:val="auto"/>
                <w:kern w:val="0"/>
                <w:sz w:val="24"/>
                <w:highlight w:val="none"/>
              </w:rPr>
              <w:t>指标</w:t>
            </w:r>
          </w:p>
        </w:tc>
        <w:tc>
          <w:tcPr>
            <w:tcW w:w="8415" w:type="dxa"/>
            <w:noWrap w:val="0"/>
            <w:vAlign w:val="center"/>
          </w:tcPr>
          <w:p>
            <w:pPr>
              <w:pStyle w:val="6"/>
              <w:pageBreakBefore w:val="0"/>
              <w:widowControl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caps w:val="0"/>
                <w:smallCaps w:val="0"/>
                <w:color w:val="auto"/>
                <w:kern w:val="24"/>
                <w:position w:val="0"/>
                <w:sz w:val="24"/>
                <w:highlight w:val="none"/>
              </w:rPr>
            </w:pPr>
            <w:r>
              <w:rPr>
                <w:rFonts w:hint="default" w:ascii="Times New Roman" w:hAnsi="Times New Roman" w:eastAsia="宋体" w:cs="Times New Roman"/>
                <w:b w:val="0"/>
                <w:bCs/>
                <w:caps w:val="0"/>
                <w:smallCaps w:val="0"/>
                <w:color w:val="auto"/>
                <w:kern w:val="24"/>
                <w:position w:val="0"/>
                <w:sz w:val="24"/>
                <w:szCs w:val="24"/>
                <w:highlight w:val="none"/>
                <w:lang w:val="en-US" w:eastAsia="zh-CN"/>
              </w:rPr>
              <w:t>项目无新增废水外排</w:t>
            </w:r>
            <w:r>
              <w:rPr>
                <w:rFonts w:hint="eastAsia" w:ascii="Times New Roman" w:hAnsi="Times New Roman" w:eastAsia="宋体" w:cs="Times New Roman"/>
                <w:b w:val="0"/>
                <w:bCs/>
                <w:caps w:val="0"/>
                <w:smallCaps w:val="0"/>
                <w:color w:val="auto"/>
                <w:kern w:val="24"/>
                <w:position w:val="0"/>
                <w:sz w:val="24"/>
                <w:szCs w:val="24"/>
                <w:highlight w:val="none"/>
                <w:lang w:val="en-US" w:eastAsia="zh-CN"/>
              </w:rPr>
              <w:t>；大气污染物仅为颗粒物且无组织排放。因此，本项目</w:t>
            </w:r>
            <w:r>
              <w:rPr>
                <w:rFonts w:hint="default" w:ascii="Times New Roman" w:hAnsi="Times New Roman" w:eastAsia="宋体" w:cs="Times New Roman"/>
                <w:b w:val="0"/>
                <w:bCs/>
                <w:caps w:val="0"/>
                <w:smallCaps w:val="0"/>
                <w:color w:val="auto"/>
                <w:kern w:val="24"/>
                <w:position w:val="0"/>
                <w:sz w:val="24"/>
                <w:szCs w:val="24"/>
                <w:highlight w:val="none"/>
                <w:lang w:val="en-US" w:eastAsia="zh-CN"/>
              </w:rPr>
              <w:t>无需申请总量控制指标。</w:t>
            </w:r>
          </w:p>
        </w:tc>
      </w:tr>
    </w:tbl>
    <w:p>
      <w:pPr>
        <w:adjustRightInd w:val="0"/>
        <w:snapToGrid w:val="0"/>
        <w:ind w:firstLine="600" w:firstLineChars="200"/>
        <w:jc w:val="center"/>
        <w:outlineLvl w:val="9"/>
        <w:rPr>
          <w:rFonts w:hint="eastAsia" w:eastAsia="黑体"/>
          <w:color w:val="auto"/>
          <w:sz w:val="30"/>
          <w:szCs w:val="30"/>
          <w:lang w:eastAsia="zh-CN"/>
        </w:rPr>
        <w:sectPr>
          <w:pgSz w:w="11906" w:h="16838"/>
          <w:pgMar w:top="1587" w:right="1587" w:bottom="1587" w:left="1587" w:header="850" w:footer="1020" w:gutter="0"/>
          <w:pgNumType w:fmt="decimal"/>
          <w:cols w:space="720" w:num="1"/>
          <w:docGrid w:type="lines" w:linePitch="312" w:charSpace="0"/>
        </w:sectPr>
      </w:pPr>
    </w:p>
    <w:p>
      <w:pPr>
        <w:adjustRightInd w:val="0"/>
        <w:snapToGrid w:val="0"/>
        <w:jc w:val="center"/>
        <w:outlineLvl w:val="0"/>
        <w:rPr>
          <w:rFonts w:hint="eastAsia" w:eastAsia="黑体"/>
          <w:color w:val="auto"/>
          <w:sz w:val="30"/>
          <w:szCs w:val="30"/>
          <w:lang w:eastAsia="zh-CN"/>
        </w:rPr>
      </w:pPr>
      <w:r>
        <w:rPr>
          <w:rFonts w:eastAsia="黑体"/>
          <w:color w:val="auto"/>
          <w:sz w:val="30"/>
          <w:szCs w:val="30"/>
        </w:rPr>
        <w:t>四、主要环境影响和保护措施</w:t>
      </w:r>
    </w:p>
    <w:tbl>
      <w:tblPr>
        <w:tblStyle w:val="22"/>
        <w:tblW w:w="504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08" w:type="dxa"/>
          <w:left w:w="108" w:type="dxa"/>
          <w:bottom w:w="108" w:type="dxa"/>
          <w:right w:w="108" w:type="dxa"/>
        </w:tblCellMar>
      </w:tblPr>
      <w:tblGrid>
        <w:gridCol w:w="723"/>
        <w:gridCol w:w="8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152" w:hRule="atLeast"/>
          <w:jc w:val="center"/>
        </w:trPr>
        <w:tc>
          <w:tcPr>
            <w:tcW w:w="717"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Cs w:val="21"/>
                <w:lang w:val="en-US" w:eastAsia="zh-CN"/>
              </w:rPr>
            </w:pPr>
            <w:r>
              <w:rPr>
                <w:rFonts w:hint="default" w:ascii="Times New Roman" w:hAnsi="Times New Roman" w:eastAsia="宋体" w:cs="Times New Roman"/>
                <w:b/>
                <w:bCs/>
                <w:color w:val="auto"/>
                <w:kern w:val="2"/>
                <w:szCs w:val="21"/>
                <w:lang w:val="en-US" w:eastAsia="zh-CN"/>
              </w:rPr>
              <w:t>施工期环境保护措施</w:t>
            </w:r>
          </w:p>
        </w:tc>
        <w:tc>
          <w:tcPr>
            <w:tcW w:w="81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80" w:firstLineChars="200"/>
              <w:textAlignment w:val="auto"/>
              <w:rPr>
                <w:rFonts w:hint="default" w:ascii="Times New Roman" w:hAnsi="Times New Roman" w:eastAsia="宋体" w:cs="Times New Roman"/>
                <w:b w:val="0"/>
                <w:bCs w:val="0"/>
                <w:color w:val="auto"/>
                <w:sz w:val="24"/>
                <w:szCs w:val="24"/>
                <w:vertAlign w:val="baseline"/>
                <w:lang w:val="en-US" w:eastAsia="zh-CN"/>
              </w:rPr>
            </w:pPr>
            <w:r>
              <w:rPr>
                <w:rFonts w:hint="default" w:ascii="Times New Roman" w:hAnsi="Times New Roman" w:eastAsia="宋体" w:cs="Times New Roman"/>
                <w:b w:val="0"/>
                <w:bCs w:val="0"/>
                <w:color w:val="auto"/>
                <w:sz w:val="24"/>
                <w:szCs w:val="24"/>
                <w:vertAlign w:val="baseline"/>
                <w:lang w:val="en-US" w:eastAsia="zh-CN"/>
              </w:rPr>
              <w:t>本项目为新建项目，建设单位租用</w:t>
            </w:r>
            <w:r>
              <w:rPr>
                <w:rFonts w:hint="eastAsia" w:cs="Times New Roman"/>
                <w:b w:val="0"/>
                <w:bCs w:val="0"/>
                <w:color w:val="auto"/>
                <w:sz w:val="24"/>
                <w:szCs w:val="24"/>
                <w:vertAlign w:val="baseline"/>
                <w:lang w:val="en-US" w:eastAsia="zh-CN"/>
              </w:rPr>
              <w:t>宁夏中卫富贵养牛厂</w:t>
            </w:r>
            <w:r>
              <w:rPr>
                <w:rFonts w:hint="default" w:ascii="Times New Roman" w:hAnsi="Times New Roman" w:eastAsia="宋体" w:cs="Times New Roman"/>
                <w:b w:val="0"/>
                <w:bCs w:val="0"/>
                <w:color w:val="auto"/>
                <w:sz w:val="24"/>
                <w:szCs w:val="24"/>
                <w:vertAlign w:val="baseline"/>
                <w:lang w:val="en-US" w:eastAsia="zh-CN"/>
              </w:rPr>
              <w:t>厂区闲置空地。主要建设</w:t>
            </w:r>
            <w:r>
              <w:rPr>
                <w:rFonts w:hint="eastAsia" w:cs="Times New Roman"/>
                <w:b w:val="0"/>
                <w:bCs w:val="0"/>
                <w:color w:val="auto"/>
                <w:sz w:val="24"/>
                <w:szCs w:val="24"/>
                <w:vertAlign w:val="baseline"/>
                <w:lang w:val="en-US" w:eastAsia="zh-CN"/>
              </w:rPr>
              <w:t>2</w:t>
            </w:r>
            <w:r>
              <w:rPr>
                <w:rFonts w:hint="default" w:ascii="Times New Roman" w:hAnsi="Times New Roman" w:eastAsia="宋体" w:cs="Times New Roman"/>
                <w:b w:val="0"/>
                <w:bCs w:val="0"/>
                <w:color w:val="auto"/>
                <w:sz w:val="24"/>
                <w:szCs w:val="24"/>
                <w:vertAlign w:val="baseline"/>
                <w:lang w:val="en-US" w:eastAsia="zh-CN"/>
              </w:rPr>
              <w:t>条混凝土生产线和</w:t>
            </w:r>
            <w:r>
              <w:rPr>
                <w:rFonts w:hint="eastAsia" w:cs="Times New Roman"/>
                <w:b w:val="0"/>
                <w:bCs w:val="0"/>
                <w:color w:val="auto"/>
                <w:sz w:val="24"/>
                <w:szCs w:val="24"/>
                <w:vertAlign w:val="baseline"/>
                <w:lang w:val="en-US" w:eastAsia="zh-CN"/>
              </w:rPr>
              <w:t>原料仓</w:t>
            </w:r>
            <w:r>
              <w:rPr>
                <w:rFonts w:hint="default" w:ascii="Times New Roman" w:hAnsi="Times New Roman" w:eastAsia="宋体" w:cs="Times New Roman"/>
                <w:b w:val="0"/>
                <w:bCs w:val="0"/>
                <w:color w:val="auto"/>
                <w:sz w:val="24"/>
                <w:szCs w:val="24"/>
                <w:vertAlign w:val="baseline"/>
                <w:lang w:val="en-US" w:eastAsia="zh-CN"/>
              </w:rPr>
              <w:t>，为</w:t>
            </w:r>
            <w:r>
              <w:rPr>
                <w:rFonts w:hint="eastAsia" w:cs="Times New Roman"/>
                <w:color w:val="auto"/>
                <w:sz w:val="24"/>
                <w:szCs w:val="21"/>
                <w:lang w:val="en-US" w:eastAsia="zh-CN"/>
              </w:rPr>
              <w:t>沙坡头灌区七星渠灌域续建配套与现代化改造工程1标段</w:t>
            </w:r>
            <w:r>
              <w:rPr>
                <w:rFonts w:hint="default" w:ascii="Times New Roman" w:hAnsi="Times New Roman" w:eastAsia="宋体" w:cs="Times New Roman"/>
                <w:color w:val="auto"/>
                <w:sz w:val="24"/>
                <w:szCs w:val="21"/>
                <w:lang w:val="en-US" w:eastAsia="zh-CN"/>
              </w:rPr>
              <w:t>提供混凝土。本项目建设</w:t>
            </w:r>
            <w:r>
              <w:rPr>
                <w:rFonts w:hint="default" w:ascii="Times New Roman" w:hAnsi="Times New Roman" w:eastAsia="宋体" w:cs="Times New Roman"/>
                <w:b w:val="0"/>
                <w:bCs w:val="0"/>
                <w:color w:val="auto"/>
                <w:sz w:val="24"/>
                <w:szCs w:val="24"/>
                <w:vertAlign w:val="baseline"/>
                <w:lang w:val="en-US" w:eastAsia="zh-CN"/>
              </w:rPr>
              <w:t>具有施工工程量小，施工期较短的特点。</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废气</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项目施工期环境污染物主要为施工扬尘及施工机械、车辆排放的尾气。</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扬尘包括施工扬尘和道路运输扬尘，其中施工扬尘主要来</w:t>
            </w:r>
            <w:r>
              <w:rPr>
                <w:rFonts w:hint="default" w:ascii="Times New Roman" w:hAnsi="Times New Roman" w:eastAsia="宋体" w:cs="Times New Roman"/>
                <w:color w:val="auto"/>
                <w:sz w:val="24"/>
                <w:szCs w:val="24"/>
                <w:lang w:val="en-US" w:eastAsia="zh-CN"/>
              </w:rPr>
              <w:t>自搅拌站</w:t>
            </w:r>
            <w:r>
              <w:rPr>
                <w:rFonts w:hint="default" w:ascii="Times New Roman" w:hAnsi="Times New Roman" w:eastAsia="宋体" w:cs="Times New Roman"/>
                <w:color w:val="auto"/>
                <w:sz w:val="24"/>
                <w:szCs w:val="24"/>
                <w:lang w:eastAsia="zh-CN"/>
              </w:rPr>
              <w:t>建设过程中的物料装卸、堆放以及渣土临时堆放等过程。</w:t>
            </w:r>
            <w:r>
              <w:rPr>
                <w:rFonts w:hint="default" w:ascii="Times New Roman" w:hAnsi="Times New Roman" w:eastAsia="宋体" w:cs="Times New Roman"/>
                <w:color w:val="auto"/>
                <w:sz w:val="24"/>
                <w:szCs w:val="24"/>
                <w:lang w:val="en-US" w:eastAsia="zh-CN"/>
              </w:rPr>
              <w:t>车辆进出厂区产生</w:t>
            </w:r>
            <w:r>
              <w:rPr>
                <w:rFonts w:hint="default" w:ascii="Times New Roman" w:hAnsi="Times New Roman" w:eastAsia="宋体" w:cs="Times New Roman"/>
                <w:color w:val="auto"/>
                <w:sz w:val="24"/>
                <w:szCs w:val="24"/>
                <w:lang w:eastAsia="zh-CN"/>
              </w:rPr>
              <w:t>道路运输扬尘。为降低施工期扬尘</w:t>
            </w:r>
            <w:r>
              <w:rPr>
                <w:rFonts w:hint="default" w:ascii="Times New Roman" w:hAnsi="Times New Roman" w:eastAsia="宋体" w:cs="Times New Roman"/>
                <w:color w:val="auto"/>
                <w:sz w:val="24"/>
                <w:szCs w:val="24"/>
                <w:lang w:val="en-US" w:eastAsia="zh-CN"/>
              </w:rPr>
              <w:t>及施工机械、车辆排放的尾气。</w:t>
            </w:r>
            <w:r>
              <w:rPr>
                <w:rFonts w:hint="default" w:ascii="Times New Roman" w:hAnsi="Times New Roman" w:eastAsia="宋体" w:cs="Times New Roman"/>
                <w:color w:val="auto"/>
                <w:sz w:val="24"/>
                <w:szCs w:val="24"/>
                <w:lang w:eastAsia="zh-CN"/>
              </w:rPr>
              <w:t>对周围环境的影响，施工单位</w:t>
            </w:r>
            <w:r>
              <w:rPr>
                <w:rFonts w:hint="default" w:ascii="Times New Roman" w:hAnsi="Times New Roman" w:eastAsia="宋体" w:cs="Times New Roman"/>
                <w:color w:val="auto"/>
                <w:sz w:val="24"/>
                <w:szCs w:val="24"/>
                <w:lang w:val="en-US" w:eastAsia="zh-CN"/>
              </w:rPr>
              <w:t>在施工期间</w:t>
            </w:r>
            <w:r>
              <w:rPr>
                <w:rFonts w:hint="default" w:ascii="Times New Roman" w:hAnsi="Times New Roman" w:eastAsia="宋体" w:cs="Times New Roman"/>
                <w:color w:val="auto"/>
                <w:sz w:val="24"/>
                <w:szCs w:val="24"/>
                <w:lang w:eastAsia="zh-CN"/>
              </w:rPr>
              <w:t>采取</w:t>
            </w:r>
            <w:r>
              <w:rPr>
                <w:rFonts w:hint="default" w:ascii="Times New Roman" w:hAnsi="Times New Roman" w:eastAsia="宋体" w:cs="Times New Roman"/>
                <w:color w:val="auto"/>
                <w:sz w:val="24"/>
                <w:szCs w:val="24"/>
                <w:lang w:val="en-US" w:eastAsia="zh-CN"/>
              </w:rPr>
              <w:t>了</w:t>
            </w:r>
            <w:r>
              <w:rPr>
                <w:rFonts w:hint="default" w:ascii="Times New Roman" w:hAnsi="Times New Roman" w:eastAsia="宋体" w:cs="Times New Roman"/>
                <w:color w:val="auto"/>
                <w:sz w:val="24"/>
                <w:szCs w:val="24"/>
                <w:lang w:eastAsia="zh-CN"/>
              </w:rPr>
              <w:t>以下措施：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kern w:val="0"/>
                <w:sz w:val="24"/>
                <w:szCs w:val="24"/>
                <w:lang w:val="en-US" w:eastAsia="zh-CN" w:bidi="ar"/>
              </w:rPr>
              <w:t>建筑工地全面落实“六个100%”的扬尘防控措施：①100%标准围挡；②裸露黄土100%覆盖；③施工道路100%硬化；④渣土运输车辆100%密闭拉运；⑤施工车辆100%冲洗清洁；⑥建筑物拆除100%湿法作业；</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通过适当洒水使</w:t>
            </w:r>
            <w:r>
              <w:rPr>
                <w:rFonts w:hint="default" w:ascii="Times New Roman" w:hAnsi="Times New Roman" w:eastAsia="宋体" w:cs="Times New Roman"/>
                <w:color w:val="auto"/>
                <w:sz w:val="24"/>
                <w:szCs w:val="24"/>
                <w:lang w:val="en-US" w:eastAsia="zh-CN"/>
              </w:rPr>
              <w:t>施工</w:t>
            </w:r>
            <w:r>
              <w:rPr>
                <w:rFonts w:hint="default" w:ascii="Times New Roman" w:hAnsi="Times New Roman" w:eastAsia="宋体" w:cs="Times New Roman"/>
                <w:color w:val="auto"/>
                <w:sz w:val="24"/>
                <w:szCs w:val="24"/>
              </w:rPr>
              <w:t>作业面保持一定的湿度，防止粉尘污染环境；</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运输建筑材料和设备的车辆不得超载，运输沙土、水泥、土方的车辆采取加盖</w:t>
            </w:r>
            <w:r>
              <w:rPr>
                <w:rFonts w:hint="default" w:ascii="Times New Roman" w:hAnsi="Times New Roman" w:eastAsia="宋体" w:cs="Times New Roman"/>
                <w:color w:val="auto"/>
                <w:sz w:val="24"/>
                <w:szCs w:val="24"/>
                <w:lang w:eastAsia="zh-CN"/>
              </w:rPr>
              <w:t>苫布</w:t>
            </w:r>
            <w:r>
              <w:rPr>
                <w:rFonts w:hint="default" w:ascii="Times New Roman" w:hAnsi="Times New Roman" w:eastAsia="宋体" w:cs="Times New Roman"/>
                <w:color w:val="auto"/>
                <w:sz w:val="24"/>
                <w:szCs w:val="24"/>
              </w:rPr>
              <w:t>等防尘措施，防止物料沿途抛</w:t>
            </w:r>
            <w:r>
              <w:rPr>
                <w:rFonts w:hint="default" w:ascii="Times New Roman" w:hAnsi="Times New Roman" w:eastAsia="宋体" w:cs="Times New Roman"/>
                <w:color w:val="auto"/>
                <w:sz w:val="24"/>
                <w:szCs w:val="24"/>
                <w:lang w:val="en-US" w:eastAsia="zh-CN"/>
              </w:rPr>
              <w:t>撒</w:t>
            </w:r>
            <w:r>
              <w:rPr>
                <w:rFonts w:hint="default" w:ascii="Times New Roman" w:hAnsi="Times New Roman" w:eastAsia="宋体" w:cs="Times New Roman"/>
                <w:color w:val="auto"/>
                <w:sz w:val="24"/>
                <w:szCs w:val="24"/>
              </w:rPr>
              <w:t>导致二次扬尘</w:t>
            </w:r>
            <w:r>
              <w:rPr>
                <w:rFonts w:hint="default" w:ascii="Times New Roman" w:hAnsi="Times New Roman" w:eastAsia="宋体" w:cs="Times New Roman"/>
                <w:color w:val="auto"/>
                <w:sz w:val="24"/>
                <w:szCs w:val="24"/>
                <w:lang w:val="en-US" w:eastAsia="zh-CN"/>
              </w:rPr>
              <w:t>污染</w:t>
            </w:r>
            <w:r>
              <w:rPr>
                <w:rFonts w:hint="default" w:ascii="Times New Roman" w:hAnsi="Times New Roman" w:eastAsia="宋体" w:cs="Times New Roman"/>
                <w:color w:val="auto"/>
                <w:sz w:val="24"/>
                <w:szCs w:val="24"/>
              </w:rPr>
              <w:t>；</w:t>
            </w:r>
          </w:p>
          <w:p>
            <w:pPr>
              <w:pStyle w:val="12"/>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出入工地的运输车辆及时冲洗，不携带泥土驶出施工工地；</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完工后及时清理和平整场地，在主体工程完工后一个月内对裸露地面采取有效措施，防止扬尘污染</w:t>
            </w:r>
            <w:r>
              <w:rPr>
                <w:rFonts w:hint="default" w:ascii="Times New Roman" w:hAnsi="Times New Roman" w:eastAsia="宋体" w:cs="Times New Roman"/>
                <w:color w:val="auto"/>
                <w:kern w:val="0"/>
                <w:sz w:val="24"/>
                <w:szCs w:val="24"/>
                <w:lang w:eastAsia="zh-CN"/>
              </w:rPr>
              <w:t>；</w:t>
            </w:r>
          </w:p>
          <w:p>
            <w:pPr>
              <w:pStyle w:val="6"/>
              <w:pageBreakBefore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kern w:val="0"/>
                <w:sz w:val="24"/>
                <w:szCs w:val="24"/>
                <w:lang w:eastAsia="zh-CN"/>
              </w:rPr>
              <w:t>（</w:t>
            </w:r>
            <w:r>
              <w:rPr>
                <w:rFonts w:hint="default" w:ascii="Times New Roman" w:hAnsi="Times New Roman" w:eastAsia="宋体" w:cs="Times New Roman"/>
                <w:b w:val="0"/>
                <w:bCs/>
                <w:color w:val="auto"/>
                <w:kern w:val="0"/>
                <w:sz w:val="24"/>
                <w:szCs w:val="24"/>
                <w:lang w:val="en-US" w:eastAsia="zh-CN"/>
              </w:rPr>
              <w:t>6</w:t>
            </w:r>
            <w:r>
              <w:rPr>
                <w:rFonts w:hint="default" w:ascii="Times New Roman" w:hAnsi="Times New Roman" w:eastAsia="宋体" w:cs="Times New Roman"/>
                <w:b w:val="0"/>
                <w:bCs/>
                <w:color w:val="auto"/>
                <w:kern w:val="0"/>
                <w:sz w:val="24"/>
                <w:szCs w:val="24"/>
                <w:lang w:eastAsia="zh-CN"/>
              </w:rPr>
              <w:t>）</w:t>
            </w:r>
            <w:r>
              <w:rPr>
                <w:rFonts w:hint="default" w:ascii="Times New Roman" w:hAnsi="Times New Roman" w:eastAsia="宋体" w:cs="Times New Roman"/>
                <w:b w:val="0"/>
                <w:bCs/>
                <w:color w:val="auto"/>
                <w:sz w:val="24"/>
                <w:szCs w:val="24"/>
              </w:rPr>
              <w:t>施工期间，使用液体燃料的施工机械及运输车辆的发动机排放的尾气中含有NO</w:t>
            </w:r>
            <w:r>
              <w:rPr>
                <w:rFonts w:hint="default" w:ascii="Times New Roman" w:hAnsi="Times New Roman" w:eastAsia="宋体" w:cs="Times New Roman"/>
                <w:b w:val="0"/>
                <w:bCs/>
                <w:color w:val="auto"/>
                <w:sz w:val="24"/>
                <w:szCs w:val="24"/>
                <w:vertAlign w:val="subscript"/>
              </w:rPr>
              <w:t>x</w:t>
            </w:r>
            <w:r>
              <w:rPr>
                <w:rFonts w:hint="default" w:ascii="Times New Roman" w:hAnsi="Times New Roman" w:eastAsia="宋体" w:cs="Times New Roman"/>
                <w:b w:val="0"/>
                <w:bCs/>
                <w:color w:val="auto"/>
                <w:sz w:val="24"/>
                <w:szCs w:val="24"/>
              </w:rPr>
              <w:t>、CO等污染物。一般情况下，</w:t>
            </w:r>
            <w:r>
              <w:rPr>
                <w:rFonts w:hint="default" w:ascii="Times New Roman" w:hAnsi="Times New Roman" w:eastAsia="宋体" w:cs="Times New Roman"/>
                <w:b w:val="0"/>
                <w:bCs/>
                <w:color w:val="auto"/>
                <w:sz w:val="24"/>
                <w:szCs w:val="24"/>
                <w:lang w:val="en-US" w:eastAsia="zh-CN"/>
              </w:rPr>
              <w:t>此类</w:t>
            </w:r>
            <w:r>
              <w:rPr>
                <w:rFonts w:hint="default" w:ascii="Times New Roman" w:hAnsi="Times New Roman" w:eastAsia="宋体" w:cs="Times New Roman"/>
                <w:b w:val="0"/>
                <w:bCs/>
                <w:color w:val="auto"/>
                <w:sz w:val="24"/>
                <w:szCs w:val="24"/>
              </w:rPr>
              <w:t>污染物的排放量不大，且属间断性无组织排放，施工过程中注意施工设备的维护，保证</w:t>
            </w:r>
            <w:r>
              <w:rPr>
                <w:rFonts w:hint="default" w:ascii="Times New Roman" w:hAnsi="Times New Roman" w:eastAsia="宋体" w:cs="Times New Roman"/>
                <w:b w:val="0"/>
                <w:bCs/>
                <w:color w:val="auto"/>
                <w:sz w:val="24"/>
                <w:szCs w:val="24"/>
                <w:lang w:val="en-US" w:eastAsia="zh-CN"/>
              </w:rPr>
              <w:t>其</w:t>
            </w:r>
            <w:r>
              <w:rPr>
                <w:rFonts w:hint="default" w:ascii="Times New Roman" w:hAnsi="Times New Roman" w:eastAsia="宋体" w:cs="Times New Roman"/>
                <w:b w:val="0"/>
                <w:bCs/>
                <w:color w:val="auto"/>
                <w:sz w:val="24"/>
                <w:szCs w:val="24"/>
              </w:rPr>
              <w:t>正常运行，提高原料利用率等</w:t>
            </w:r>
            <w:r>
              <w:rPr>
                <w:rFonts w:hint="default" w:ascii="Times New Roman" w:hAnsi="Times New Roman" w:eastAsia="宋体" w:cs="Times New Roman"/>
                <w:b w:val="0"/>
                <w:bCs/>
                <w:color w:val="auto"/>
                <w:sz w:val="24"/>
                <w:szCs w:val="24"/>
                <w:lang w:eastAsia="zh-CN"/>
              </w:rPr>
              <w:t>。</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综上所述，本项目施工期在落实大气环境保护措施的前提下，对周边大气环境影响较小。</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废水</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施工期间废水主要为施工人员生活污水和施工废水。</w:t>
            </w:r>
            <w:r>
              <w:rPr>
                <w:rFonts w:hint="default" w:ascii="Times New Roman" w:hAnsi="Times New Roman" w:eastAsia="宋体" w:cs="Times New Roman"/>
                <w:color w:val="auto"/>
                <w:sz w:val="24"/>
                <w:szCs w:val="24"/>
                <w:lang w:eastAsia="zh-CN"/>
              </w:rPr>
              <w:t>生活污水主要污染因子为COD、BOD</w:t>
            </w:r>
            <w:r>
              <w:rPr>
                <w:rFonts w:hint="default" w:ascii="Times New Roman" w:hAnsi="Times New Roman" w:eastAsia="宋体" w:cs="Times New Roman"/>
                <w:color w:val="auto"/>
                <w:sz w:val="24"/>
                <w:szCs w:val="24"/>
                <w:vertAlign w:val="subscript"/>
                <w:lang w:eastAsia="zh-CN"/>
              </w:rPr>
              <w:t>5</w:t>
            </w:r>
            <w:r>
              <w:rPr>
                <w:rFonts w:hint="default" w:ascii="Times New Roman" w:hAnsi="Times New Roman" w:eastAsia="宋体" w:cs="Times New Roman"/>
                <w:color w:val="auto"/>
                <w:sz w:val="24"/>
                <w:szCs w:val="24"/>
                <w:lang w:eastAsia="zh-CN"/>
              </w:rPr>
              <w:t>、SS、NH</w:t>
            </w:r>
            <w:r>
              <w:rPr>
                <w:rFonts w:hint="default" w:ascii="Times New Roman" w:hAnsi="Times New Roman" w:eastAsia="宋体" w:cs="Times New Roman"/>
                <w:color w:val="auto"/>
                <w:sz w:val="24"/>
                <w:szCs w:val="24"/>
                <w:vertAlign w:val="subscript"/>
                <w:lang w:eastAsia="zh-CN"/>
              </w:rPr>
              <w:t>3</w:t>
            </w:r>
            <w:r>
              <w:rPr>
                <w:rFonts w:hint="default" w:ascii="Times New Roman" w:hAnsi="Times New Roman" w:eastAsia="宋体" w:cs="Times New Roman"/>
                <w:color w:val="auto"/>
                <w:sz w:val="24"/>
                <w:szCs w:val="24"/>
                <w:lang w:eastAsia="zh-CN"/>
              </w:rPr>
              <w:t>-N，</w:t>
            </w:r>
            <w:r>
              <w:rPr>
                <w:rFonts w:hint="default" w:ascii="Times New Roman" w:hAnsi="Times New Roman" w:eastAsia="宋体" w:cs="Times New Roman"/>
                <w:color w:val="auto"/>
                <w:sz w:val="24"/>
                <w:szCs w:val="24"/>
                <w:lang w:val="en-US" w:eastAsia="zh-CN"/>
              </w:rPr>
              <w:t>经厂区旱厕堆肥后还田。项目施工期间，建设单位必须加强对施工人员的管理，在施工场地内合理布置临时沉淀池，建筑施工废水经沉淀池沉淀后回用，不外排。</w:t>
            </w:r>
          </w:p>
          <w:p>
            <w:pPr>
              <w:keepNext w:val="0"/>
              <w:keepLines w:val="0"/>
              <w:pageBreakBefore w:val="0"/>
              <w:kinsoku/>
              <w:wordWrap/>
              <w:overflowPunct/>
              <w:topLinePunct w:val="0"/>
              <w:autoSpaceDE/>
              <w:autoSpaceDN/>
              <w:bidi w:val="0"/>
              <w:adjustRightInd w:val="0"/>
              <w:snapToGrid w:val="0"/>
              <w:spacing w:line="360" w:lineRule="auto"/>
              <w:ind w:left="0" w:leftChars="0" w:right="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因此，本项目施工期对周边水环境影响较小。</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噪声</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本项目工程量小，施工现场仅有少量的施工机械设备和来往车辆。</w:t>
            </w:r>
            <w:r>
              <w:rPr>
                <w:rFonts w:hint="default" w:ascii="Times New Roman" w:hAnsi="Times New Roman" w:eastAsia="宋体" w:cs="Times New Roman"/>
                <w:color w:val="auto"/>
                <w:kern w:val="0"/>
                <w:sz w:val="24"/>
                <w:szCs w:val="24"/>
              </w:rPr>
              <w:t>施工</w:t>
            </w:r>
            <w:r>
              <w:rPr>
                <w:rFonts w:hint="default" w:ascii="Times New Roman" w:hAnsi="Times New Roman" w:eastAsia="宋体" w:cs="Times New Roman"/>
                <w:color w:val="auto"/>
                <w:kern w:val="0"/>
                <w:sz w:val="24"/>
                <w:szCs w:val="24"/>
                <w:lang w:val="en-US" w:eastAsia="zh-CN"/>
              </w:rPr>
              <w:t>过程</w:t>
            </w:r>
            <w:r>
              <w:rPr>
                <w:rFonts w:hint="default" w:ascii="Times New Roman" w:hAnsi="Times New Roman" w:eastAsia="宋体" w:cs="Times New Roman"/>
                <w:color w:val="auto"/>
                <w:kern w:val="0"/>
                <w:sz w:val="24"/>
                <w:szCs w:val="24"/>
              </w:rPr>
              <w:t>中使用的各种施工机械、运输车辆等是噪声的产生源。噪声源强在75～90dB（A）之间</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为最大限度地减少噪声对环境的影响，施工期应采取以下噪声防治措施：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（1）合理安排施工作业时间，尽量避免高噪声设备同时施工；</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（2）降低设备声级，尽量选用低噪声机械设备或带隔声、消声的设备，同时做好施工机械的维护和保养，有效降低机械设备运转的噪声源强；</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（3）降低人为噪声：按规定操作机械设备，物料装卸过程中，尽量减少碰撞声音；尽量少用哨子、鸣笛等指挥作业，控制车辆鸣笛。</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bidi="ar"/>
              </w:rPr>
              <w:t>综上所述，施工单位通过合理安排施工机械设备的位置，并对高噪声设备采取减振、隔音、选择合理施工时间等措施，可保证项目施工场界噪声满足《建筑 施工场界环境噪声排放标准》（GB12523-2011）的要求，使施工噪声对环境的影响降到最低。</w:t>
            </w:r>
          </w:p>
          <w:p>
            <w:pPr>
              <w:keepNext w:val="0"/>
              <w:keepLines w:val="0"/>
              <w:pageBreakBefore w:val="0"/>
              <w:numPr>
                <w:ilvl w:val="0"/>
                <w:numId w:val="7"/>
              </w:numPr>
              <w:kinsoku/>
              <w:wordWrap/>
              <w:overflowPunct/>
              <w:topLinePunct w:val="0"/>
              <w:autoSpaceDE/>
              <w:autoSpaceDN/>
              <w:bidi w:val="0"/>
              <w:adjustRightInd w:val="0"/>
              <w:snapToGrid w:val="0"/>
              <w:spacing w:line="360" w:lineRule="auto"/>
              <w:ind w:left="0" w:leftChars="0" w:right="0" w:firstLine="482" w:firstLineChars="200"/>
              <w:textAlignment w:val="auto"/>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固体废物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施工期固体废物主要来自施工活动产生的建筑垃圾以及施工人员产生的生活垃圾。施工期固体废物如不及时采取有效防治措施，也会对周围环境产生一定影响，因此应采取以下防治措施：</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遗留在现场的建筑废物及时清运或回填；</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建筑废物及时回收</w:t>
            </w:r>
            <w:r>
              <w:rPr>
                <w:rFonts w:hint="default" w:ascii="Times New Roman" w:hAnsi="Times New Roman" w:eastAsia="宋体" w:cs="Times New Roman"/>
                <w:color w:val="auto"/>
                <w:sz w:val="24"/>
                <w:szCs w:val="24"/>
                <w:lang w:val="en-US" w:eastAsia="zh-CN"/>
              </w:rPr>
              <w:t>至</w:t>
            </w:r>
            <w:r>
              <w:rPr>
                <w:rFonts w:hint="default" w:ascii="Times New Roman" w:hAnsi="Times New Roman" w:eastAsia="宋体" w:cs="Times New Roman"/>
                <w:color w:val="auto"/>
                <w:sz w:val="24"/>
                <w:szCs w:val="24"/>
              </w:rPr>
              <w:t>政府部门指定地点</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运送建筑</w:t>
            </w:r>
            <w:r>
              <w:rPr>
                <w:rFonts w:hint="default" w:ascii="Times New Roman" w:hAnsi="Times New Roman" w:eastAsia="宋体" w:cs="Times New Roman"/>
                <w:color w:val="auto"/>
                <w:sz w:val="24"/>
                <w:szCs w:val="24"/>
                <w:lang w:val="en-US" w:eastAsia="zh-CN"/>
              </w:rPr>
              <w:t>废物</w:t>
            </w:r>
            <w:r>
              <w:rPr>
                <w:rFonts w:hint="default" w:ascii="Times New Roman" w:hAnsi="Times New Roman" w:eastAsia="宋体" w:cs="Times New Roman"/>
                <w:color w:val="auto"/>
                <w:sz w:val="24"/>
                <w:szCs w:val="24"/>
              </w:rPr>
              <w:t>的车辆加盖</w:t>
            </w:r>
            <w:r>
              <w:rPr>
                <w:rFonts w:hint="default" w:ascii="Times New Roman" w:hAnsi="Times New Roman" w:eastAsia="宋体" w:cs="Times New Roman"/>
                <w:color w:val="auto"/>
                <w:sz w:val="24"/>
                <w:szCs w:val="24"/>
                <w:lang w:eastAsia="zh-CN"/>
              </w:rPr>
              <w:t>苫布</w:t>
            </w:r>
            <w:r>
              <w:rPr>
                <w:rFonts w:hint="default" w:ascii="Times New Roman" w:hAnsi="Times New Roman" w:eastAsia="宋体" w:cs="Times New Roman"/>
                <w:color w:val="auto"/>
                <w:sz w:val="24"/>
                <w:szCs w:val="24"/>
              </w:rPr>
              <w:t>，不得随意倾倒</w:t>
            </w:r>
            <w:r>
              <w:rPr>
                <w:rFonts w:hint="default" w:ascii="Times New Roman" w:hAnsi="Times New Roman" w:eastAsia="宋体" w:cs="Times New Roman"/>
                <w:color w:val="auto"/>
                <w:sz w:val="24"/>
                <w:szCs w:val="24"/>
                <w:lang w:eastAsia="zh-CN"/>
              </w:rPr>
              <w:t>；</w:t>
            </w:r>
          </w:p>
          <w:p>
            <w:pPr>
              <w:pStyle w:val="6"/>
              <w:pageBreakBefore w:val="0"/>
              <w:kinsoku/>
              <w:wordWrap/>
              <w:overflowPunct/>
              <w:topLinePunct w:val="0"/>
              <w:autoSpaceDE/>
              <w:autoSpaceDN/>
              <w:bidi w:val="0"/>
              <w:adjustRightInd w:val="0"/>
              <w:snapToGrid w:val="0"/>
              <w:spacing w:before="0" w:after="0" w:line="360" w:lineRule="auto"/>
              <w:ind w:firstLine="480" w:firstLineChars="200"/>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lang w:val="en-US" w:eastAsia="zh-CN"/>
              </w:rPr>
              <w:t>土方开挖及回填做到挖填平衡，无弃土产生；</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（4）施工期产生的生活垃圾收集后运至项目附近的垃圾转运点。</w:t>
            </w:r>
          </w:p>
          <w:p>
            <w:pPr>
              <w:keepNext w:val="0"/>
              <w:keepLines w:val="0"/>
              <w:pageBreakBefore w:val="0"/>
              <w:tabs>
                <w:tab w:val="left" w:pos="7334"/>
              </w:tabs>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综上所述，在落实上述固体废物环保措施后，项目施工期对周边的环境</w:t>
            </w:r>
          </w:p>
          <w:p>
            <w:pPr>
              <w:keepNext w:val="0"/>
              <w:keepLines w:val="0"/>
              <w:pageBreakBefore w:val="0"/>
              <w:tabs>
                <w:tab w:val="left" w:pos="7334"/>
              </w:tabs>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lang w:val="en-US" w:eastAsia="zh-CN"/>
              </w:rPr>
              <w:t>影响较小。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08" w:type="dxa"/>
            <w:left w:w="108" w:type="dxa"/>
            <w:bottom w:w="108" w:type="dxa"/>
            <w:right w:w="108" w:type="dxa"/>
          </w:tblCellMar>
        </w:tblPrEx>
        <w:trPr>
          <w:trHeight w:val="4575" w:hRule="atLeast"/>
          <w:jc w:val="center"/>
        </w:trPr>
        <w:tc>
          <w:tcPr>
            <w:tcW w:w="717"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eastAsia="宋体" w:cs="Times New Roman"/>
                <w:b/>
                <w:bCs/>
                <w:color w:val="auto"/>
                <w:kern w:val="2"/>
                <w:szCs w:val="21"/>
                <w:lang w:val="en-US" w:eastAsia="zh-CN"/>
              </w:rPr>
            </w:pPr>
            <w:r>
              <w:rPr>
                <w:rFonts w:hint="default" w:ascii="Times New Roman" w:hAnsi="Times New Roman" w:eastAsia="宋体" w:cs="Times New Roman"/>
                <w:b/>
                <w:bCs/>
                <w:color w:val="auto"/>
                <w:kern w:val="2"/>
                <w:szCs w:val="21"/>
                <w:lang w:val="en-US" w:eastAsia="zh-CN"/>
              </w:rPr>
              <w:t>运营期环境影响和保护措施</w:t>
            </w:r>
          </w:p>
        </w:tc>
        <w:tc>
          <w:tcPr>
            <w:tcW w:w="8151" w:type="dxa"/>
            <w:noWrap w:val="0"/>
            <w:vAlign w:val="top"/>
          </w:tcPr>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firstLine="482" w:firstLineChars="200"/>
              <w:jc w:val="both"/>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废气</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本项目厂区大气污染物产排情况汇总见表4-1。</w:t>
            </w:r>
          </w:p>
          <w:p>
            <w:pPr>
              <w:pStyle w:val="16"/>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16"/>
                <w:highlight w:val="none"/>
                <w:lang w:val="en-US" w:eastAsia="zh-CN"/>
              </w:rPr>
            </w:pPr>
            <w:r>
              <w:rPr>
                <w:rFonts w:hint="default" w:ascii="Times New Roman" w:hAnsi="Times New Roman" w:eastAsia="宋体" w:cs="Times New Roman"/>
                <w:b/>
                <w:bCs/>
                <w:color w:val="auto"/>
                <w:sz w:val="21"/>
                <w:szCs w:val="16"/>
                <w:highlight w:val="none"/>
                <w:lang w:val="en-US" w:eastAsia="zh-CN"/>
              </w:rPr>
              <w:t>表4-1  大气污染物产排情况汇总一览表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766"/>
              <w:gridCol w:w="832"/>
              <w:gridCol w:w="1996"/>
              <w:gridCol w:w="649"/>
              <w:gridCol w:w="865"/>
              <w:gridCol w:w="624"/>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工序、装置</w:t>
                  </w:r>
                </w:p>
              </w:tc>
              <w:tc>
                <w:tcPr>
                  <w:tcW w:w="7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c>
                <w:tcPr>
                  <w:tcW w:w="6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排放形式</w:t>
                  </w:r>
                </w:p>
              </w:tc>
              <w:tc>
                <w:tcPr>
                  <w:tcW w:w="6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标准限值(mg/m</w:t>
                  </w:r>
                  <w:r>
                    <w:rPr>
                      <w:rFonts w:hint="default" w:ascii="Times New Roman" w:hAnsi="Times New Roman" w:eastAsia="宋体" w:cs="Times New Roman"/>
                      <w:b/>
                      <w:bCs/>
                      <w:color w:val="auto"/>
                      <w:kern w:val="2"/>
                      <w:sz w:val="21"/>
                      <w:szCs w:val="21"/>
                      <w:vertAlign w:val="superscript"/>
                      <w:lang w:val="en-US" w:eastAsia="zh-CN" w:bidi="ar-SA"/>
                    </w:rPr>
                    <w:t>3</w:t>
                  </w:r>
                  <w:r>
                    <w:rPr>
                      <w:rFonts w:hint="default" w:ascii="Times New Roman" w:hAnsi="Times New Roman" w:eastAsia="宋体" w:cs="Times New Roman"/>
                      <w:b/>
                      <w:bCs/>
                      <w:color w:val="auto"/>
                      <w:kern w:val="2"/>
                      <w:sz w:val="21"/>
                      <w:szCs w:val="21"/>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原料仓</w:t>
                  </w:r>
                  <w:r>
                    <w:rPr>
                      <w:rFonts w:hint="default" w:ascii="Times New Roman" w:hAnsi="Times New Roman" w:eastAsia="宋体" w:cs="Times New Roman"/>
                      <w:b w:val="0"/>
                      <w:bCs w:val="0"/>
                      <w:color w:val="auto"/>
                      <w:kern w:val="2"/>
                      <w:sz w:val="21"/>
                      <w:szCs w:val="21"/>
                      <w:lang w:val="en-US" w:eastAsia="zh-CN" w:bidi="ar-SA"/>
                    </w:rPr>
                    <w:t>粉尘G</w:t>
                  </w:r>
                  <w:r>
                    <w:rPr>
                      <w:rFonts w:hint="eastAsia" w:cs="Times New Roman"/>
                      <w:b w:val="0"/>
                      <w:bCs w:val="0"/>
                      <w:color w:val="auto"/>
                      <w:kern w:val="2"/>
                      <w:sz w:val="21"/>
                      <w:szCs w:val="21"/>
                      <w:lang w:val="en-US" w:eastAsia="zh-CN" w:bidi="ar-SA"/>
                    </w:rPr>
                    <w:t>1</w:t>
                  </w:r>
                </w:p>
              </w:tc>
              <w:tc>
                <w:tcPr>
                  <w:tcW w:w="76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0.73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物料采取苫布覆盖措施，并定期洒水降尘</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80</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0.146</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无组织</w:t>
                  </w:r>
                </w:p>
              </w:tc>
              <w:tc>
                <w:tcPr>
                  <w:tcW w:w="6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石料、水洗砂由铲车送至配料机废气G</w:t>
                  </w:r>
                  <w:r>
                    <w:rPr>
                      <w:rFonts w:hint="eastAsia" w:cs="Times New Roman"/>
                      <w:b w:val="0"/>
                      <w:bCs w:val="0"/>
                      <w:color w:val="auto"/>
                      <w:kern w:val="2"/>
                      <w:sz w:val="21"/>
                      <w:szCs w:val="21"/>
                      <w:lang w:val="en-US" w:eastAsia="zh-CN" w:bidi="ar-SA"/>
                    </w:rPr>
                    <w:t>2</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0.25</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配料机顶部设置</w:t>
                  </w:r>
                  <w:r>
                    <w:rPr>
                      <w:rFonts w:hint="default" w:ascii="Times New Roman" w:hAnsi="Times New Roman" w:eastAsia="宋体" w:cs="Times New Roman"/>
                      <w:b w:val="0"/>
                      <w:bCs w:val="0"/>
                      <w:color w:val="auto"/>
                      <w:kern w:val="2"/>
                      <w:sz w:val="21"/>
                      <w:szCs w:val="21"/>
                      <w:lang w:val="en-US" w:eastAsia="zh-CN" w:bidi="ar-SA"/>
                    </w:rPr>
                    <w:t>防静电挡尘帘</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0.25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石料和水洗砂由密闭导料皮带输送至骨料中间仓G</w:t>
                  </w:r>
                  <w:r>
                    <w:rPr>
                      <w:rFonts w:hint="eastAsia" w:cs="Times New Roman"/>
                      <w:b w:val="0"/>
                      <w:bCs w:val="0"/>
                      <w:color w:val="auto"/>
                      <w:sz w:val="21"/>
                      <w:szCs w:val="21"/>
                      <w:lang w:val="en-US" w:eastAsia="zh-CN"/>
                    </w:rPr>
                    <w:t>3</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13.3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密闭输送皮带；搅拌机配套的布袋除尘机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0.04</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水泥筒仓、粉煤灰筒仓呼吸口废气G</w:t>
                  </w:r>
                  <w:r>
                    <w:rPr>
                      <w:rFonts w:hint="eastAsia" w:cs="Times New Roman"/>
                      <w:b w:val="0"/>
                      <w:bCs w:val="0"/>
                      <w:color w:val="auto"/>
                      <w:kern w:val="2"/>
                      <w:sz w:val="21"/>
                      <w:szCs w:val="21"/>
                      <w:lang w:val="en-US" w:eastAsia="zh-CN" w:bidi="ar-SA"/>
                    </w:rPr>
                    <w:t>4</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2.616</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各筒仓仓顶配套</w:t>
                  </w:r>
                  <w:r>
                    <w:rPr>
                      <w:rFonts w:hint="eastAsia" w:cs="Times New Roman"/>
                      <w:b w:val="0"/>
                      <w:bCs w:val="0"/>
                      <w:color w:val="auto"/>
                      <w:kern w:val="2"/>
                      <w:sz w:val="21"/>
                      <w:szCs w:val="21"/>
                      <w:vertAlign w:val="baseline"/>
                      <w:lang w:val="en-US" w:eastAsia="zh-CN" w:bidi="ar-SA"/>
                    </w:rPr>
                    <w:t>脉冲袋式除尘机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w:t>
                  </w:r>
                  <w:r>
                    <w:rPr>
                      <w:rFonts w:hint="eastAsia" w:cs="Times New Roman"/>
                      <w:b w:val="0"/>
                      <w:bCs w:val="0"/>
                      <w:color w:val="auto"/>
                      <w:kern w:val="2"/>
                      <w:sz w:val="21"/>
                      <w:szCs w:val="21"/>
                      <w:vertAlign w:val="baseline"/>
                      <w:lang w:val="en-US" w:eastAsia="zh-CN" w:bidi="ar-SA"/>
                    </w:rPr>
                    <w:t>.7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w:t>
                  </w:r>
                  <w:r>
                    <w:rPr>
                      <w:rFonts w:hint="eastAsia" w:cs="Times New Roman"/>
                      <w:b w:val="0"/>
                      <w:bCs w:val="0"/>
                      <w:color w:val="auto"/>
                      <w:kern w:val="2"/>
                      <w:sz w:val="21"/>
                      <w:szCs w:val="21"/>
                      <w:vertAlign w:val="baseline"/>
                      <w:lang w:val="en-US" w:eastAsia="zh-CN" w:bidi="ar-SA"/>
                    </w:rPr>
                    <w:t>08</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搅拌机搅拌废气G</w:t>
                  </w:r>
                  <w:r>
                    <w:rPr>
                      <w:rFonts w:hint="eastAsia" w:cs="Times New Roman"/>
                      <w:b w:val="0"/>
                      <w:bCs w:val="0"/>
                      <w:color w:val="auto"/>
                      <w:kern w:val="2"/>
                      <w:sz w:val="21"/>
                      <w:szCs w:val="21"/>
                      <w:lang w:val="en-US" w:eastAsia="zh-CN" w:bidi="ar-SA"/>
                    </w:rPr>
                    <w:t>5</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18.72</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搅拌机配套的布袋除尘机</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0.056</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lang w:val="en-US" w:eastAsia="zh-CN" w:bidi="ar-SA"/>
                    </w:rPr>
                    <w:t>车辆运输扬尘G6</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3</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kern w:val="2"/>
                      <w:sz w:val="21"/>
                      <w:szCs w:val="21"/>
                      <w:highlight w:val="none"/>
                      <w:lang w:val="en-US" w:eastAsia="zh-CN"/>
                    </w:rPr>
                    <w:t>厂区门口设置车辆冲洗平台</w:t>
                  </w:r>
                  <w:r>
                    <w:rPr>
                      <w:rFonts w:hint="default" w:ascii="Times New Roman" w:hAnsi="Times New Roman" w:eastAsia="宋体" w:cs="Times New Roman"/>
                      <w:b w:val="0"/>
                      <w:bCs w:val="0"/>
                      <w:color w:val="auto"/>
                      <w:kern w:val="2"/>
                      <w:sz w:val="21"/>
                      <w:szCs w:val="21"/>
                      <w:highlight w:val="none"/>
                      <w:lang w:eastAsia="zh-CN"/>
                    </w:rPr>
                    <w:t>，</w:t>
                  </w:r>
                  <w:r>
                    <w:rPr>
                      <w:rFonts w:hint="default" w:ascii="Times New Roman" w:hAnsi="Times New Roman" w:eastAsia="宋体" w:cs="Times New Roman"/>
                      <w:b w:val="0"/>
                      <w:bCs w:val="0"/>
                      <w:color w:val="auto"/>
                      <w:kern w:val="2"/>
                      <w:sz w:val="21"/>
                      <w:szCs w:val="21"/>
                      <w:highlight w:val="none"/>
                    </w:rPr>
                    <w:t>并</w:t>
                  </w:r>
                  <w:r>
                    <w:rPr>
                      <w:rFonts w:hint="default" w:ascii="Times New Roman" w:hAnsi="Times New Roman" w:eastAsia="宋体" w:cs="Times New Roman"/>
                      <w:b w:val="0"/>
                      <w:bCs w:val="0"/>
                      <w:color w:val="auto"/>
                      <w:kern w:val="2"/>
                      <w:sz w:val="21"/>
                      <w:szCs w:val="21"/>
                      <w:highlight w:val="none"/>
                      <w:lang w:val="en-US" w:eastAsia="zh-CN"/>
                    </w:rPr>
                    <w:t>采取定期</w:t>
                  </w:r>
                  <w:r>
                    <w:rPr>
                      <w:rFonts w:hint="default" w:ascii="Times New Roman" w:hAnsi="Times New Roman" w:eastAsia="宋体" w:cs="Times New Roman"/>
                      <w:b w:val="0"/>
                      <w:bCs w:val="0"/>
                      <w:color w:val="auto"/>
                      <w:kern w:val="2"/>
                      <w:sz w:val="21"/>
                      <w:szCs w:val="21"/>
                      <w:highlight w:val="none"/>
                    </w:rPr>
                    <w:t>道路洒水降尘</w:t>
                  </w:r>
                  <w:r>
                    <w:rPr>
                      <w:rFonts w:hint="default" w:ascii="Times New Roman" w:hAnsi="Times New Roman" w:eastAsia="宋体" w:cs="Times New Roman"/>
                      <w:b w:val="0"/>
                      <w:bCs w:val="0"/>
                      <w:color w:val="auto"/>
                      <w:kern w:val="2"/>
                      <w:sz w:val="21"/>
                      <w:szCs w:val="21"/>
                      <w:highlight w:val="none"/>
                      <w:lang w:val="en-US" w:eastAsia="zh-CN"/>
                    </w:rPr>
                    <w:t>措施。运输车辆缓慢行驶且不得超载，物料采用苫布遮挡覆盖</w:t>
                  </w:r>
                  <w:r>
                    <w:rPr>
                      <w:rFonts w:hint="default" w:ascii="Times New Roman" w:hAnsi="Times New Roman" w:eastAsia="宋体" w:cs="Times New Roman"/>
                      <w:b w:val="0"/>
                      <w:bCs w:val="0"/>
                      <w:color w:val="auto"/>
                      <w:kern w:val="2"/>
                      <w:sz w:val="21"/>
                      <w:szCs w:val="21"/>
                      <w:highlight w:val="none"/>
                    </w:rPr>
                    <w:t>。</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95</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0.15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89" w:type="dxa"/>
                  <w:vAlign w:val="center"/>
                </w:tcPr>
                <w:p>
                  <w:pPr>
                    <w:pStyle w:val="2"/>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总量</w:t>
                  </w:r>
                </w:p>
              </w:tc>
              <w:tc>
                <w:tcPr>
                  <w:tcW w:w="76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8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38.616</w:t>
                  </w:r>
                </w:p>
              </w:tc>
              <w:tc>
                <w:tcPr>
                  <w:tcW w:w="19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rPr>
                    <w:t>/</w:t>
                  </w:r>
                </w:p>
              </w:tc>
              <w:tc>
                <w:tcPr>
                  <w:tcW w:w="64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8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w:t>
                  </w:r>
                  <w:r>
                    <w:rPr>
                      <w:rFonts w:hint="eastAsia" w:cs="Times New Roman"/>
                      <w:b w:val="0"/>
                      <w:bCs w:val="0"/>
                      <w:color w:val="auto"/>
                      <w:kern w:val="2"/>
                      <w:sz w:val="21"/>
                      <w:szCs w:val="21"/>
                      <w:vertAlign w:val="baseline"/>
                      <w:lang w:val="en-US" w:eastAsia="zh-CN" w:bidi="ar-SA"/>
                    </w:rPr>
                    <w:t>65</w:t>
                  </w: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r>
          </w:tbl>
          <w:p>
            <w:pPr>
              <w:keepNext w:val="0"/>
              <w:keepLines w:val="0"/>
              <w:pageBreakBefore w:val="0"/>
              <w:widowControl w:val="0"/>
              <w:numPr>
                <w:ilvl w:val="0"/>
                <w:numId w:val="9"/>
              </w:numPr>
              <w:kinsoku/>
              <w:wordWrap/>
              <w:overflowPunct/>
              <w:topLinePunct w:val="0"/>
              <w:autoSpaceDE/>
              <w:autoSpaceDN/>
              <w:bidi w:val="0"/>
              <w:adjustRightInd w:val="0"/>
              <w:snapToGrid w:val="0"/>
              <w:spacing w:before="157" w:beforeLines="50"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源强核算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1</w:t>
            </w: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原料仓</w:t>
            </w:r>
            <w:r>
              <w:rPr>
                <w:rFonts w:hint="default" w:ascii="Times New Roman" w:hAnsi="Times New Roman" w:eastAsia="宋体" w:cs="Times New Roman"/>
                <w:b/>
                <w:bCs/>
                <w:color w:val="auto"/>
                <w:kern w:val="2"/>
                <w:sz w:val="24"/>
                <w:szCs w:val="24"/>
                <w:lang w:val="en-US" w:eastAsia="zh-CN" w:bidi="ar-SA"/>
              </w:rPr>
              <w:t>粉尘（G</w:t>
            </w:r>
            <w:r>
              <w:rPr>
                <w:rFonts w:hint="eastAsia" w:cs="Times New Roman"/>
                <w:b/>
                <w:bCs/>
                <w:color w:val="auto"/>
                <w:kern w:val="2"/>
                <w:sz w:val="24"/>
                <w:szCs w:val="24"/>
                <w:lang w:val="en-US" w:eastAsia="zh-CN" w:bidi="ar-SA"/>
              </w:rPr>
              <w:t>1</w:t>
            </w:r>
            <w:r>
              <w:rPr>
                <w:rFonts w:hint="default" w:ascii="Times New Roman" w:hAnsi="Times New Roman" w:eastAsia="宋体" w:cs="Times New Roman"/>
                <w:b/>
                <w:bCs/>
                <w:color w:val="auto"/>
                <w:kern w:val="2"/>
                <w:sz w:val="24"/>
                <w:szCs w:val="24"/>
                <w:lang w:val="en-US" w:eastAsia="zh-CN" w:bidi="ar-SA"/>
              </w:rPr>
              <w:t>）</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原料仓</w:t>
            </w:r>
            <w:r>
              <w:rPr>
                <w:rFonts w:hint="default" w:ascii="Times New Roman" w:hAnsi="Times New Roman" w:eastAsia="宋体" w:cs="Times New Roman"/>
                <w:color w:val="auto"/>
                <w:sz w:val="24"/>
                <w:szCs w:val="24"/>
                <w:highlight w:val="none"/>
                <w:lang w:val="en-US" w:eastAsia="zh-CN"/>
              </w:rPr>
              <w:t>堆存不同规格的石料及水洗砂，物料采取防尘网全覆盖措施，防止粉尘污染大气环境。堆场露天装卸作业时，厂区内采取洒水措施，并避开大风天气，避免作业起尘。同时，安排人员定期巡察覆盖网，加强环境管理和监督。</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装卸过程石堆中粒径较小的沙粒、灰渣在风力作用下会在堆产生一定量的扬尘。堆场风力起尘源强计算公式如下：</w:t>
            </w:r>
          </w:p>
          <w:p>
            <w:pPr>
              <w:rPr>
                <w:rFonts w:hint="default" w:ascii="Times New Roman" w:hAnsi="Times New Roman" w:eastAsia="宋体" w:cs="Times New Roman"/>
                <w:color w:val="auto"/>
                <w:kern w:val="0"/>
                <w:sz w:val="24"/>
                <w:szCs w:val="24"/>
                <w:lang w:val="en-US" w:eastAsia="zh-CN" w:bidi="ar"/>
              </w:rPr>
            </w:pPr>
          </w:p>
          <w:p>
            <w:pPr>
              <w:pStyle w:val="2"/>
              <w:rPr>
                <w:rFonts w:hint="default"/>
                <w:color w:val="auto"/>
                <w:lang w:val="en-US" w:eastAsia="zh-CN"/>
              </w:rPr>
            </w:pP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position w:val="-10"/>
                <w:sz w:val="24"/>
                <w:szCs w:val="24"/>
                <w:lang w:val="en-US" w:eastAsia="zh-CN" w:bidi="ar"/>
              </w:rPr>
              <w:object>
                <v:shape id="_x0000_i1029" o:spt="75" type="#_x0000_t75" style="height:20.45pt;width:130.55pt;" o:ole="t" filled="f" o:preferrelative="t" stroked="f" coordsize="21600,21600">
                  <v:path/>
                  <v:fill on="f" focussize="0,0"/>
                  <v:stroke on="f"/>
                  <v:imagedata r:id="rId19" o:title=""/>
                  <o:lock v:ext="edit" aspectratio="t"/>
                  <w10:wrap type="none"/>
                  <w10:anchorlock/>
                </v:shape>
                <o:OLEObject Type="Embed" ProgID="Equation.KSEE3" ShapeID="_x0000_i1029" DrawAspect="Content" ObjectID="_1468075729" r:id="rId18">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式中：Q—堆场起尘强度，mg/s；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U—地面平均风速，m/s，取0.5m/s；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S—堆场表面积，m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，取3000m</w:t>
            </w:r>
            <w:r>
              <w:rPr>
                <w:rFonts w:hint="default" w:ascii="Times New Roman" w:hAnsi="Times New Roman" w:eastAsia="宋体" w:cs="Times New Roman"/>
                <w:color w:val="auto"/>
                <w:kern w:val="0"/>
                <w:sz w:val="24"/>
                <w:szCs w:val="24"/>
                <w:vertAlign w:val="superscript"/>
                <w:lang w:val="en-US" w:eastAsia="zh-CN" w:bidi="ar"/>
              </w:rPr>
              <w:t>2</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1200" w:firstLineChars="5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W—堆场产品含水率，%，洒水前取3%，洒水后取8%；</w:t>
            </w:r>
          </w:p>
          <w:p>
            <w:pPr>
              <w:pStyle w:val="21"/>
              <w:keepNext w:val="0"/>
              <w:keepLines w:val="0"/>
              <w:pageBreakBefore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color w:val="auto"/>
                <w:lang w:val="en-US" w:eastAsia="zh-CN"/>
              </w:rPr>
            </w:pPr>
            <w:r>
              <w:rPr>
                <w:rFonts w:hint="default" w:ascii="Times New Roman" w:hAnsi="Times New Roman" w:eastAsia="宋体" w:cs="Times New Roman"/>
                <w:color w:val="auto"/>
                <w:sz w:val="24"/>
                <w:szCs w:val="24"/>
                <w:highlight w:val="none"/>
                <w:lang w:val="en-US" w:eastAsia="zh-CN"/>
              </w:rPr>
              <w:t>经计算，</w:t>
            </w:r>
            <w:r>
              <w:rPr>
                <w:rFonts w:hint="eastAsia" w:cs="Times New Roman"/>
                <w:color w:val="auto"/>
                <w:sz w:val="24"/>
                <w:szCs w:val="24"/>
                <w:highlight w:val="none"/>
                <w:lang w:val="en-US" w:eastAsia="zh-CN"/>
              </w:rPr>
              <w:t>原料仓</w:t>
            </w:r>
            <w:r>
              <w:rPr>
                <w:rFonts w:hint="default" w:ascii="Times New Roman" w:hAnsi="Times New Roman" w:eastAsia="宋体" w:cs="Times New Roman"/>
                <w:color w:val="auto"/>
                <w:sz w:val="24"/>
                <w:szCs w:val="24"/>
                <w:highlight w:val="none"/>
                <w:lang w:val="en-US" w:eastAsia="zh-CN"/>
              </w:rPr>
              <w:t>起尘量约为0.73t/a，通过采取苫布覆盖，对物料进行洒水降尘等措施后粉尘去除效率达80%，其粉尘排放量为0.146t/a。</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2</w:t>
            </w:r>
            <w:r>
              <w:rPr>
                <w:rFonts w:hint="default" w:ascii="Times New Roman" w:hAnsi="Times New Roman" w:eastAsia="宋体" w:cs="Times New Roman"/>
                <w:b/>
                <w:bCs/>
                <w:color w:val="auto"/>
                <w:kern w:val="2"/>
                <w:sz w:val="24"/>
                <w:szCs w:val="24"/>
                <w:lang w:val="en-US" w:eastAsia="zh-CN" w:bidi="ar-SA"/>
              </w:rPr>
              <w:t>）石料、水洗砂由铲车送至配料机废气（G</w:t>
            </w:r>
            <w:r>
              <w:rPr>
                <w:rFonts w:hint="eastAsia" w:cs="Times New Roman"/>
                <w:b/>
                <w:bCs/>
                <w:color w:val="auto"/>
                <w:kern w:val="2"/>
                <w:sz w:val="24"/>
                <w:szCs w:val="24"/>
                <w:lang w:val="en-US" w:eastAsia="zh-CN" w:bidi="ar-SA"/>
              </w:rPr>
              <w:t>2</w:t>
            </w:r>
            <w:r>
              <w:rPr>
                <w:rFonts w:hint="default" w:ascii="Times New Roman" w:hAnsi="Times New Roman" w:eastAsia="宋体" w:cs="Times New Roman"/>
                <w:b/>
                <w:bCs/>
                <w:color w:val="auto"/>
                <w:kern w:val="2"/>
                <w:sz w:val="24"/>
                <w:szCs w:val="24"/>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外购不同规格石料和水洗砂由铲车送至配料机称量配比，该过程主要污染物为颗粒物。配料机顶部设置防静电挡尘帘，减少石料和水洗砂上料过程的粉尘外溢。铲装扬尘量采用清华大学装卸扬尘公式计算：</w:t>
            </w:r>
          </w:p>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position w:val="-10"/>
                <w:lang w:val="en-US" w:eastAsia="zh-CN"/>
              </w:rPr>
              <w:object>
                <v:shape id="_x0000_i1030" o:spt="75" type="#_x0000_t75" style="height:21.25pt;width:169.95pt;" o:ole="t" filled="f" o:preferrelative="t" stroked="f" coordsize="21600,21600">
                  <v:path/>
                  <v:fill on="f" focussize="0,0"/>
                  <v:stroke on="f"/>
                  <v:imagedata r:id="rId21" o:title=""/>
                  <o:lock v:ext="edit" aspectratio="t"/>
                  <w10:wrap type="none"/>
                  <w10:anchorlock/>
                </v:shape>
                <o:OLEObject Type="Embed" ProgID="Equation.KSEE3" ShapeID="_x0000_i1030" DrawAspect="Content" ObjectID="_1468075730" r:id="rId20">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式中Q：装卸扬尘，g/次；</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U：风速，m/s，取0.5m/s；</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W：物料湿度，%，取5%；</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M：车辆吨位；取30t；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960" w:firstLineChars="4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H：装卸高度；取1.5m。</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b w:val="0"/>
                <w:bCs w:val="0"/>
                <w:color w:val="auto"/>
                <w:kern w:val="2"/>
                <w:sz w:val="24"/>
                <w:szCs w:val="24"/>
                <w:lang w:val="en-US" w:eastAsia="zh-CN" w:bidi="ar-SA"/>
              </w:rPr>
              <w:t>项目石料及水洗砂卸料至配料机约为110880t/a，卸料次数为3696次。经计算，石料和水洗砂单次装卸起尘量约为68.57g，则项目骨料卸料粉尘产生量为0.25t/a。</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）石料、水洗砂由皮带机送至骨料中间仓废气（G</w:t>
            </w:r>
            <w:r>
              <w:rPr>
                <w:rFonts w:hint="eastAsia" w:cs="Times New Roman"/>
                <w:b/>
                <w:bCs/>
                <w:color w:val="auto"/>
                <w:kern w:val="2"/>
                <w:sz w:val="24"/>
                <w:szCs w:val="24"/>
                <w:lang w:val="en-US" w:eastAsia="zh-CN" w:bidi="ar-SA"/>
              </w:rPr>
              <w:t>3</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配比称量后的石料和水洗砂由密闭导料皮带输送至骨料中间仓，</w:t>
            </w:r>
            <w:r>
              <w:rPr>
                <w:rFonts w:hint="default" w:ascii="Times New Roman" w:hAnsi="Times New Roman" w:eastAsia="宋体" w:cs="Times New Roman"/>
                <w:b w:val="0"/>
                <w:bCs w:val="0"/>
                <w:color w:val="auto"/>
                <w:kern w:val="2"/>
                <w:sz w:val="24"/>
                <w:szCs w:val="24"/>
                <w:lang w:val="en-US" w:eastAsia="zh-CN" w:bidi="ar-SA"/>
              </w:rPr>
              <w:t>该工段主要污染物为颗粒物，废气通过骨料中间仓和搅拌机的通气管进入配套的布袋除尘机收集处理后排放。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排放源统计调查产排污核算方法和技术手册》中“3021水泥制品制造（含3022砼结构构件、3029其他水泥类似制品制造）—物料输送储存”颗粒物产物系数为0.12kg/t，石料及水洗砂总量为110880t/a计算。石料和水洗砂由密闭导料皮带输送至骨料中间仓废气产排情况见表4-2。</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4-2  石料和水洗砂由密闭导料皮带输送至骨料中间仓废气产排量一览表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008"/>
              <w:gridCol w:w="1187"/>
              <w:gridCol w:w="1595"/>
              <w:gridCol w:w="968"/>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10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1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color w:val="auto"/>
                      <w:sz w:val="21"/>
                      <w:szCs w:val="21"/>
                      <w:lang w:val="en-US" w:eastAsia="zh-CN"/>
                    </w:rPr>
                    <w:t>石料和水洗砂由密闭导料皮带输送至骨料中间仓</w:t>
                  </w:r>
                </w:p>
              </w:tc>
              <w:tc>
                <w:tcPr>
                  <w:tcW w:w="10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17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13.3</w:t>
                  </w:r>
                </w:p>
              </w:tc>
              <w:tc>
                <w:tcPr>
                  <w:tcW w:w="15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密闭输送皮带；搅拌机配套的布袋除尘机</w:t>
                  </w:r>
                </w:p>
              </w:tc>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13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0.04</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）水泥筒仓、粉煤灰筒仓呼吸口废气（G</w:t>
            </w:r>
            <w:r>
              <w:rPr>
                <w:rFonts w:hint="eastAsia" w:cs="Times New Roman"/>
                <w:b/>
                <w:bCs/>
                <w:color w:val="auto"/>
                <w:kern w:val="2"/>
                <w:sz w:val="24"/>
                <w:szCs w:val="24"/>
                <w:lang w:val="en-US" w:eastAsia="zh-CN" w:bidi="ar-SA"/>
              </w:rPr>
              <w:t>4</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水泥、粉煤灰通过管道灌装进筒仓，粉尘会随筒仓中的空气经顶部呼吸口中排出，单个筒仓仓顶均配套</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收集粉尘，减少对大气环境的污染。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根据《逸散型工业粉尘控制技术》中贮仓排气颗粒物产生系数为0.12kg/t，水泥和粉煤灰用量分别为18540t/a、3300t/a，计算本项目筒仓呼吸口废气产生情况。水泥筒仓、粉煤灰筒仓呼吸口废气产排情况见表4-3。</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  水泥筒仓、粉煤灰筒仓呼吸口废气产排量一览表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008"/>
              <w:gridCol w:w="1187"/>
              <w:gridCol w:w="1495"/>
              <w:gridCol w:w="1068"/>
              <w:gridCol w:w="13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10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4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10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水泥筒仓呼吸口</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2.22</w:t>
                  </w:r>
                </w:p>
              </w:tc>
              <w:tc>
                <w:tcPr>
                  <w:tcW w:w="149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kern w:val="2"/>
                      <w:sz w:val="21"/>
                      <w:szCs w:val="21"/>
                      <w:vertAlign w:val="baseline"/>
                      <w:lang w:val="en-US" w:eastAsia="zh-CN" w:bidi="ar-SA"/>
                    </w:rPr>
                    <w:t>各筒仓仓顶配套</w:t>
                  </w:r>
                  <w:r>
                    <w:rPr>
                      <w:rFonts w:hint="eastAsia" w:cs="Times New Roman"/>
                      <w:b w:val="0"/>
                      <w:bCs w:val="0"/>
                      <w:color w:val="auto"/>
                      <w:kern w:val="2"/>
                      <w:sz w:val="21"/>
                      <w:szCs w:val="21"/>
                      <w:vertAlign w:val="baseline"/>
                      <w:lang w:val="en-US" w:eastAsia="zh-CN" w:bidi="ar-SA"/>
                    </w:rPr>
                    <w:t>脉冲袋式除尘机</w:t>
                  </w:r>
                </w:p>
              </w:tc>
              <w:tc>
                <w:tcPr>
                  <w:tcW w:w="10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w:t>
                  </w:r>
                  <w:r>
                    <w:rPr>
                      <w:rFonts w:hint="eastAsia" w:cs="Times New Roman"/>
                      <w:b w:val="0"/>
                      <w:bCs w:val="0"/>
                      <w:color w:val="auto"/>
                      <w:kern w:val="2"/>
                      <w:sz w:val="21"/>
                      <w:szCs w:val="21"/>
                      <w:vertAlign w:val="baseline"/>
                      <w:lang w:val="en-US" w:eastAsia="zh-CN" w:bidi="ar-SA"/>
                    </w:rPr>
                    <w:t>.7</w:t>
                  </w:r>
                  <w:r>
                    <w:rPr>
                      <w:rFonts w:hint="default" w:ascii="Times New Roman" w:hAnsi="Times New Roman" w:eastAsia="宋体" w:cs="Times New Roman"/>
                      <w:b w:val="0"/>
                      <w:bCs w:val="0"/>
                      <w:color w:val="auto"/>
                      <w:kern w:val="2"/>
                      <w:sz w:val="21"/>
                      <w:szCs w:val="21"/>
                      <w:vertAlign w:val="baseline"/>
                      <w:lang w:val="en-US" w:eastAsia="zh-CN" w:bidi="ar-SA"/>
                    </w:rPr>
                    <w:t>%</w:t>
                  </w: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粉煤灰筒仓呼吸口</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0.396</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p>
              </w:tc>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3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总量</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18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2.616</w:t>
                  </w:r>
                </w:p>
              </w:tc>
              <w:tc>
                <w:tcPr>
                  <w:tcW w:w="149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p>
              </w:tc>
              <w:tc>
                <w:tcPr>
                  <w:tcW w:w="10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p>
              </w:tc>
              <w:tc>
                <w:tcPr>
                  <w:tcW w:w="13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eastAsia" w:cs="Times New Roman"/>
                      <w:b w:val="0"/>
                      <w:bCs w:val="0"/>
                      <w:color w:val="auto"/>
                      <w:kern w:val="2"/>
                      <w:sz w:val="21"/>
                      <w:szCs w:val="21"/>
                      <w:vertAlign w:val="baseline"/>
                      <w:lang w:val="en-US" w:eastAsia="zh-CN" w:bidi="ar-SA"/>
                    </w:rPr>
                    <w:t>0.008</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w:t>
            </w:r>
            <w:r>
              <w:rPr>
                <w:rFonts w:hint="eastAsia"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）搅拌机搅拌废气（G</w:t>
            </w:r>
            <w:r>
              <w:rPr>
                <w:rFonts w:hint="eastAsia" w:cs="Times New Roman"/>
                <w:b/>
                <w:bCs/>
                <w:color w:val="auto"/>
                <w:kern w:val="2"/>
                <w:sz w:val="24"/>
                <w:szCs w:val="24"/>
                <w:lang w:val="en-US" w:eastAsia="zh-CN" w:bidi="ar-SA"/>
              </w:rPr>
              <w:t>5</w:t>
            </w:r>
            <w:r>
              <w:rPr>
                <w:rFonts w:hint="default" w:ascii="Times New Roman" w:hAnsi="Times New Roman" w:eastAsia="宋体" w:cs="Times New Roman"/>
                <w:b/>
                <w:bCs/>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lang w:val="en-US" w:eastAsia="zh-CN" w:bidi="ar"/>
              </w:rPr>
              <w:t>进入搅拌机的石料、水洗砂、水泥、粉煤灰、水和外加剂进行充分混合搅拌，</w:t>
            </w:r>
            <w:r>
              <w:rPr>
                <w:rFonts w:hint="default" w:ascii="Times New Roman" w:hAnsi="Times New Roman" w:eastAsia="宋体" w:cs="Times New Roman"/>
                <w:b w:val="0"/>
                <w:bCs w:val="0"/>
                <w:color w:val="auto"/>
                <w:kern w:val="2"/>
                <w:sz w:val="24"/>
                <w:szCs w:val="24"/>
                <w:lang w:val="en-US" w:eastAsia="zh-CN" w:bidi="ar-SA"/>
              </w:rPr>
              <w:t>该工段主要污染物为颗粒物。废气通过搅拌机配套的布袋除尘机收集处理后排放。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根据《排放源统计调查产排污核算方法和技术手册》中“3021水泥制品制造（含3022砼结构构件、3029其他水泥类似制品制造）—物料混合搅拌”颗粒物产物系数为0.13kg/t，项目混凝土生产总量为144000t/a（</w:t>
            </w:r>
            <w:r>
              <w:rPr>
                <w:rFonts w:hint="eastAsia" w:cs="Times New Roman"/>
                <w:b w:val="0"/>
                <w:bCs w:val="0"/>
                <w:color w:val="auto"/>
                <w:kern w:val="2"/>
                <w:sz w:val="24"/>
                <w:szCs w:val="24"/>
                <w:lang w:val="en-US" w:eastAsia="zh-CN" w:bidi="ar-SA"/>
              </w:rPr>
              <w:t>10万m3</w:t>
            </w:r>
            <w:r>
              <w:rPr>
                <w:rFonts w:hint="default" w:ascii="Times New Roman" w:hAnsi="Times New Roman" w:eastAsia="宋体" w:cs="Times New Roman"/>
                <w:b w:val="0"/>
                <w:bCs w:val="0"/>
                <w:color w:val="auto"/>
                <w:kern w:val="2"/>
                <w:sz w:val="24"/>
                <w:szCs w:val="24"/>
                <w:lang w:val="en-US" w:eastAsia="zh-CN" w:bidi="ar-SA"/>
              </w:rPr>
              <w:t>）计算。搅拌机搅拌废气产排情况见表4-4。</w:t>
            </w:r>
          </w:p>
          <w:p>
            <w:pPr>
              <w:pStyle w:val="6"/>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4-4  搅拌机搅拌废气产排量一览表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980"/>
              <w:gridCol w:w="1231"/>
              <w:gridCol w:w="1580"/>
              <w:gridCol w:w="931"/>
              <w:gridCol w:w="13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名称</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污染物名称</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污染物产生量（t/a）</w:t>
                  </w:r>
                </w:p>
              </w:tc>
              <w:tc>
                <w:tcPr>
                  <w:tcW w:w="15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治理措施</w:t>
                  </w:r>
                </w:p>
              </w:tc>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kern w:val="2"/>
                      <w:sz w:val="21"/>
                      <w:szCs w:val="21"/>
                      <w:vertAlign w:val="baseline"/>
                      <w:lang w:val="en-US" w:eastAsia="zh-CN" w:bidi="ar-SA"/>
                    </w:rPr>
                  </w:pPr>
                  <w:r>
                    <w:rPr>
                      <w:rFonts w:hint="default" w:ascii="Times New Roman" w:hAnsi="Times New Roman" w:eastAsia="宋体" w:cs="Times New Roman"/>
                      <w:b/>
                      <w:bCs/>
                      <w:color w:val="auto"/>
                      <w:kern w:val="2"/>
                      <w:sz w:val="21"/>
                      <w:szCs w:val="21"/>
                      <w:vertAlign w:val="baseline"/>
                      <w:lang w:val="en-US" w:eastAsia="zh-CN" w:bidi="ar-SA"/>
                    </w:rPr>
                    <w:t>去除效率</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2"/>
                      <w:sz w:val="21"/>
                      <w:szCs w:val="21"/>
                      <w:vertAlign w:val="baseline"/>
                      <w:lang w:val="en-US" w:eastAsia="zh-CN" w:bidi="ar-SA"/>
                    </w:rPr>
                    <w:t>污染物排放量（</w:t>
                  </w:r>
                  <w:r>
                    <w:rPr>
                      <w:rFonts w:hint="default" w:ascii="Times New Roman" w:hAnsi="Times New Roman" w:eastAsia="宋体" w:cs="Times New Roman"/>
                      <w:b/>
                      <w:bCs/>
                      <w:color w:val="auto"/>
                      <w:sz w:val="21"/>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lang w:val="en-US" w:eastAsia="zh-CN" w:bidi="ar-SA"/>
                    </w:rPr>
                    <w:t>搅拌机搅拌</w:t>
                  </w:r>
                </w:p>
              </w:tc>
              <w:tc>
                <w:tcPr>
                  <w:tcW w:w="97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颗粒物</w:t>
                  </w:r>
                </w:p>
              </w:tc>
              <w:tc>
                <w:tcPr>
                  <w:tcW w:w="12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18.72</w:t>
                  </w:r>
                </w:p>
              </w:tc>
              <w:tc>
                <w:tcPr>
                  <w:tcW w:w="156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搅拌机配套的布袋除尘机</w:t>
                  </w:r>
                </w:p>
              </w:tc>
              <w:tc>
                <w:tcPr>
                  <w:tcW w:w="92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99.7%</w:t>
                  </w:r>
                </w:p>
              </w:tc>
              <w:tc>
                <w:tcPr>
                  <w:tcW w:w="13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kern w:val="2"/>
                      <w:sz w:val="21"/>
                      <w:szCs w:val="21"/>
                      <w:vertAlign w:val="baseline"/>
                      <w:lang w:val="en-US" w:eastAsia="zh-CN" w:bidi="ar-SA"/>
                    </w:rPr>
                    <w:t>0.056</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（6）车辆运输扬尘（G6）</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车辆行驶中产生的扬尘，在道路完全干燥的情况下，按照经验公式计算：</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position w:val="-30"/>
                <w:sz w:val="24"/>
                <w:szCs w:val="24"/>
                <w:highlight w:val="none"/>
                <w:lang w:val="en-US" w:eastAsia="zh-CN"/>
              </w:rPr>
              <w:object>
                <v:shape id="_x0000_i1031" o:spt="75" type="#_x0000_t75" style="height:36.75pt;width:194.05pt;" o:ole="t" filled="f" o:preferrelative="t" stroked="f" coordsize="21600,21600">
                  <v:path/>
                  <v:fill on="f" focussize="0,0"/>
                  <v:stroke on="f"/>
                  <v:imagedata r:id="rId23" o:title=""/>
                  <o:lock v:ext="edit" aspectratio="t"/>
                  <w10:wrap type="none"/>
                  <w10:anchorlock/>
                </v:shape>
                <o:OLEObject Type="Embed" ProgID="Equation.KSEE3" ShapeID="_x0000_i1031" DrawAspect="Content" ObjectID="_1468075731" r:id="rId22">
                  <o:LockedField>false</o:LockedField>
                </o:OLEObject>
              </w:object>
            </w:r>
          </w:p>
          <w:p>
            <w:pPr>
              <w:widowControl/>
              <w:adjustRightInd w:val="0"/>
              <w:snapToGrid w:val="0"/>
              <w:spacing w:line="360" w:lineRule="auto"/>
              <w:ind w:firstLine="720" w:firstLineChars="3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式中：Qy——交通运输起尘量，kg/km·辆；</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Qt——运输途中起尘量，kg/a；</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V——汽车速率，km/h</w:t>
            </w:r>
            <w:r>
              <w:rPr>
                <w:rFonts w:hint="default" w:ascii="Times New Roman" w:hAnsi="Times New Roman" w:eastAsia="宋体" w:cs="Times New Roman"/>
                <w:color w:val="auto"/>
                <w:kern w:val="0"/>
                <w:sz w:val="24"/>
                <w:szCs w:val="24"/>
                <w:highlight w:val="none"/>
                <w:lang w:eastAsia="zh-CN" w:bidi="ar"/>
              </w:rPr>
              <w:t>，</w:t>
            </w:r>
            <w:r>
              <w:rPr>
                <w:rFonts w:hint="default" w:ascii="Times New Roman" w:hAnsi="Times New Roman" w:eastAsia="宋体" w:cs="Times New Roman"/>
                <w:color w:val="auto"/>
                <w:kern w:val="0"/>
                <w:sz w:val="24"/>
                <w:szCs w:val="24"/>
                <w:highlight w:val="none"/>
                <w:lang w:val="en-US" w:eastAsia="zh-CN" w:bidi="ar"/>
              </w:rPr>
              <w:t>取</w:t>
            </w:r>
            <w:r>
              <w:rPr>
                <w:rFonts w:hint="default" w:ascii="Times New Roman" w:hAnsi="Times New Roman" w:eastAsia="宋体" w:cs="Times New Roman"/>
                <w:color w:val="auto"/>
                <w:kern w:val="2"/>
                <w:sz w:val="24"/>
                <w:szCs w:val="24"/>
                <w:highlight w:val="none"/>
              </w:rPr>
              <w:t>5km/h</w:t>
            </w:r>
            <w:r>
              <w:rPr>
                <w:rFonts w:hint="default" w:ascii="Times New Roman" w:hAnsi="Times New Roman" w:eastAsia="宋体" w:cs="Times New Roman"/>
                <w:color w:val="auto"/>
                <w:kern w:val="0"/>
                <w:sz w:val="24"/>
                <w:szCs w:val="24"/>
                <w:highlight w:val="none"/>
                <w:lang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bidi="ar"/>
              </w:rPr>
              <w:t>W——汽车载重，</w:t>
            </w:r>
            <w:r>
              <w:rPr>
                <w:rFonts w:hint="default" w:ascii="Times New Roman" w:hAnsi="Times New Roman" w:eastAsia="宋体" w:cs="Times New Roman"/>
                <w:color w:val="auto"/>
                <w:kern w:val="0"/>
                <w:sz w:val="24"/>
                <w:szCs w:val="24"/>
                <w:highlight w:val="none"/>
                <w:lang w:val="en-US" w:eastAsia="zh-CN" w:bidi="ar"/>
              </w:rPr>
              <w:t>t</w:t>
            </w:r>
            <w:r>
              <w:rPr>
                <w:rFonts w:hint="default" w:ascii="Times New Roman" w:hAnsi="Times New Roman" w:eastAsia="宋体" w:cs="Times New Roman"/>
                <w:color w:val="auto"/>
                <w:kern w:val="0"/>
                <w:sz w:val="24"/>
                <w:szCs w:val="24"/>
                <w:highlight w:val="none"/>
                <w:lang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P——道路表面粉尘量，kg/</w:t>
            </w:r>
            <w:r>
              <w:rPr>
                <w:rFonts w:hint="default" w:ascii="Times New Roman" w:hAnsi="Times New Roman" w:eastAsia="宋体" w:cs="Times New Roman"/>
                <w:color w:val="auto"/>
                <w:kern w:val="2"/>
                <w:sz w:val="24"/>
                <w:szCs w:val="24"/>
                <w:highlight w:val="none"/>
              </w:rPr>
              <w:t>m</w:t>
            </w:r>
            <w:r>
              <w:rPr>
                <w:rFonts w:hint="default" w:ascii="Times New Roman" w:hAnsi="Times New Roman" w:eastAsia="宋体" w:cs="Times New Roman"/>
                <w:color w:val="auto"/>
                <w:kern w:val="2"/>
                <w:sz w:val="24"/>
                <w:szCs w:val="24"/>
                <w:highlight w:val="none"/>
                <w:vertAlign w:val="superscript"/>
              </w:rPr>
              <w:t>2</w:t>
            </w:r>
            <w:r>
              <w:rPr>
                <w:rFonts w:hint="default" w:ascii="Times New Roman" w:hAnsi="Times New Roman" w:eastAsia="宋体" w:cs="Times New Roman"/>
                <w:color w:val="auto"/>
                <w:kern w:val="2"/>
                <w:sz w:val="24"/>
                <w:szCs w:val="24"/>
                <w:highlight w:val="none"/>
                <w:vertAlign w:val="baseline"/>
                <w:lang w:eastAsia="zh-CN"/>
              </w:rPr>
              <w:t>，</w:t>
            </w:r>
            <w:r>
              <w:rPr>
                <w:rFonts w:hint="default" w:ascii="Times New Roman" w:hAnsi="Times New Roman" w:eastAsia="宋体" w:cs="Times New Roman"/>
                <w:color w:val="auto"/>
                <w:kern w:val="0"/>
                <w:sz w:val="24"/>
                <w:szCs w:val="24"/>
                <w:highlight w:val="none"/>
                <w:lang w:val="en-US" w:eastAsia="zh-CN" w:bidi="ar"/>
              </w:rPr>
              <w:t>取</w:t>
            </w:r>
            <w:r>
              <w:rPr>
                <w:rFonts w:hint="default" w:ascii="Times New Roman" w:hAnsi="Times New Roman" w:eastAsia="宋体" w:cs="Times New Roman"/>
                <w:color w:val="auto"/>
                <w:kern w:val="2"/>
                <w:sz w:val="24"/>
                <w:szCs w:val="24"/>
                <w:highlight w:val="none"/>
              </w:rPr>
              <w:t>0.1</w:t>
            </w:r>
            <w:r>
              <w:rPr>
                <w:rFonts w:hint="default" w:ascii="Times New Roman" w:hAnsi="Times New Roman" w:eastAsia="宋体" w:cs="Times New Roman"/>
                <w:color w:val="auto"/>
                <w:kern w:val="0"/>
                <w:sz w:val="24"/>
                <w:szCs w:val="24"/>
                <w:highlight w:val="none"/>
                <w:lang w:bidi="ar"/>
              </w:rPr>
              <w:t>kg/</w:t>
            </w:r>
            <w:r>
              <w:rPr>
                <w:rFonts w:hint="default" w:ascii="Times New Roman" w:hAnsi="Times New Roman" w:eastAsia="宋体" w:cs="Times New Roman"/>
                <w:color w:val="auto"/>
                <w:kern w:val="2"/>
                <w:sz w:val="24"/>
                <w:szCs w:val="24"/>
                <w:highlight w:val="none"/>
              </w:rPr>
              <w:t>m</w:t>
            </w:r>
            <w:r>
              <w:rPr>
                <w:rFonts w:hint="default" w:ascii="Times New Roman" w:hAnsi="Times New Roman" w:eastAsia="宋体" w:cs="Times New Roman"/>
                <w:color w:val="auto"/>
                <w:kern w:val="2"/>
                <w:sz w:val="24"/>
                <w:szCs w:val="24"/>
                <w:highlight w:val="none"/>
                <w:vertAlign w:val="superscript"/>
              </w:rPr>
              <w:t>2</w:t>
            </w:r>
            <w:r>
              <w:rPr>
                <w:rFonts w:hint="default" w:ascii="Times New Roman" w:hAnsi="Times New Roman" w:eastAsia="宋体" w:cs="Times New Roman"/>
                <w:color w:val="auto"/>
                <w:kern w:val="2"/>
                <w:sz w:val="24"/>
                <w:szCs w:val="24"/>
                <w:highlight w:val="none"/>
                <w:vertAlign w:val="baseline"/>
                <w:lang w:eastAsia="zh-CN"/>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L——运输距离，km</w:t>
            </w:r>
            <w:r>
              <w:rPr>
                <w:rFonts w:hint="default" w:ascii="Times New Roman" w:hAnsi="Times New Roman" w:eastAsia="宋体" w:cs="Times New Roman"/>
                <w:color w:val="auto"/>
                <w:kern w:val="0"/>
                <w:sz w:val="24"/>
                <w:szCs w:val="24"/>
                <w:highlight w:val="none"/>
                <w:lang w:eastAsia="zh-CN" w:bidi="ar"/>
              </w:rPr>
              <w:t>，</w:t>
            </w:r>
            <w:r>
              <w:rPr>
                <w:rFonts w:hint="default" w:ascii="Times New Roman" w:hAnsi="Times New Roman" w:eastAsia="宋体" w:cs="Times New Roman"/>
                <w:color w:val="auto"/>
                <w:kern w:val="0"/>
                <w:sz w:val="24"/>
                <w:szCs w:val="24"/>
                <w:highlight w:val="none"/>
                <w:lang w:val="en-US" w:eastAsia="zh-CN" w:bidi="ar"/>
              </w:rPr>
              <w:t>取0.5</w:t>
            </w:r>
            <w:r>
              <w:rPr>
                <w:rFonts w:hint="default" w:ascii="Times New Roman" w:hAnsi="Times New Roman" w:eastAsia="宋体" w:cs="Times New Roman"/>
                <w:color w:val="auto"/>
                <w:kern w:val="0"/>
                <w:sz w:val="24"/>
                <w:szCs w:val="24"/>
                <w:highlight w:val="none"/>
                <w:lang w:bidi="ar"/>
              </w:rPr>
              <w:t>km</w:t>
            </w:r>
            <w:r>
              <w:rPr>
                <w:rFonts w:hint="default" w:ascii="Times New Roman" w:hAnsi="Times New Roman" w:eastAsia="宋体" w:cs="Times New Roman"/>
                <w:color w:val="auto"/>
                <w:kern w:val="0"/>
                <w:sz w:val="24"/>
                <w:szCs w:val="24"/>
                <w:highlight w:val="none"/>
                <w:lang w:val="en-US" w:eastAsia="zh-CN" w:bidi="ar"/>
              </w:rPr>
              <w:t>；</w:t>
            </w:r>
          </w:p>
          <w:p>
            <w:pPr>
              <w:widowControl/>
              <w:adjustRightInd w:val="0"/>
              <w:snapToGrid w:val="0"/>
              <w:spacing w:line="360" w:lineRule="auto"/>
              <w:ind w:firstLine="1440" w:firstLineChars="600"/>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kern w:val="0"/>
                <w:sz w:val="24"/>
                <w:szCs w:val="24"/>
                <w:highlight w:val="none"/>
                <w:lang w:bidi="ar"/>
              </w:rPr>
              <w:t>Q——运输量，t/a</w:t>
            </w:r>
            <w:r>
              <w:rPr>
                <w:rFonts w:hint="default" w:ascii="Times New Roman" w:hAnsi="Times New Roman" w:eastAsia="宋体" w:cs="Times New Roman"/>
                <w:color w:val="auto"/>
                <w:kern w:val="0"/>
                <w:sz w:val="24"/>
                <w:szCs w:val="24"/>
                <w:highlight w:val="none"/>
                <w:lang w:eastAsia="zh-CN" w:bidi="ar"/>
              </w:rPr>
              <w:t>。</w:t>
            </w:r>
          </w:p>
          <w:p>
            <w:pPr>
              <w:pStyle w:val="41"/>
              <w:keepNext w:val="0"/>
              <w:keepLines w:val="0"/>
              <w:pageBreakBefore w:val="0"/>
              <w:framePr w:hSpace="0" w:wrap="auto" w:vAnchor="margin" w:hAnchor="text" w:xAlign="left" w:yAlign="inline"/>
              <w:widowControl w:val="0"/>
              <w:kinsoku/>
              <w:wordWrap/>
              <w:overflowPunct/>
              <w:topLinePunct w:val="0"/>
              <w:autoSpaceDE/>
              <w:autoSpaceDN/>
              <w:bidi w:val="0"/>
              <w:adjustRightInd w:val="0"/>
              <w:snapToGrid w:val="0"/>
              <w:spacing w:line="360" w:lineRule="auto"/>
              <w:ind w:left="0" w:leftChars="0" w:firstLine="480"/>
              <w:textAlignment w:val="auto"/>
              <w:rPr>
                <w:rFonts w:hint="default" w:ascii="Times New Roman" w:hAnsi="Times New Roman" w:eastAsia="宋体" w:cs="Times New Roman"/>
                <w:color w:val="auto"/>
                <w:kern w:val="2"/>
                <w:sz w:val="24"/>
                <w:szCs w:val="24"/>
                <w:highlight w:val="none"/>
              </w:rPr>
            </w:pPr>
            <w:r>
              <w:rPr>
                <w:rFonts w:hint="default" w:ascii="Times New Roman" w:hAnsi="Times New Roman" w:eastAsia="宋体" w:cs="Times New Roman"/>
                <w:color w:val="auto"/>
                <w:kern w:val="2"/>
                <w:sz w:val="24"/>
                <w:szCs w:val="24"/>
                <w:highlight w:val="none"/>
                <w:lang w:val="en-US" w:eastAsia="zh-CN"/>
              </w:rPr>
              <w:t>厂区门口设置车辆冲洗平台</w:t>
            </w:r>
            <w:r>
              <w:rPr>
                <w:rFonts w:hint="default" w:ascii="Times New Roman" w:hAnsi="Times New Roman" w:eastAsia="宋体" w:cs="Times New Roman"/>
                <w:color w:val="auto"/>
                <w:kern w:val="2"/>
                <w:sz w:val="24"/>
                <w:szCs w:val="24"/>
                <w:highlight w:val="none"/>
                <w:lang w:eastAsia="zh-CN"/>
              </w:rPr>
              <w:t>，</w:t>
            </w:r>
            <w:r>
              <w:rPr>
                <w:rFonts w:hint="default" w:ascii="Times New Roman" w:hAnsi="Times New Roman" w:eastAsia="宋体" w:cs="Times New Roman"/>
                <w:color w:val="auto"/>
                <w:kern w:val="2"/>
                <w:sz w:val="24"/>
                <w:szCs w:val="24"/>
                <w:highlight w:val="none"/>
              </w:rPr>
              <w:t>并</w:t>
            </w:r>
            <w:r>
              <w:rPr>
                <w:rFonts w:hint="default" w:ascii="Times New Roman" w:hAnsi="Times New Roman" w:eastAsia="宋体" w:cs="Times New Roman"/>
                <w:color w:val="auto"/>
                <w:kern w:val="2"/>
                <w:sz w:val="24"/>
                <w:szCs w:val="24"/>
                <w:highlight w:val="none"/>
                <w:lang w:val="en-US" w:eastAsia="zh-CN"/>
              </w:rPr>
              <w:t>采取定期</w:t>
            </w:r>
            <w:r>
              <w:rPr>
                <w:rFonts w:hint="default" w:ascii="Times New Roman" w:hAnsi="Times New Roman" w:eastAsia="宋体" w:cs="Times New Roman"/>
                <w:color w:val="auto"/>
                <w:kern w:val="2"/>
                <w:sz w:val="24"/>
                <w:szCs w:val="24"/>
                <w:highlight w:val="none"/>
              </w:rPr>
              <w:t>道路洒水降尘</w:t>
            </w:r>
            <w:r>
              <w:rPr>
                <w:rFonts w:hint="default" w:ascii="Times New Roman" w:hAnsi="Times New Roman" w:eastAsia="宋体" w:cs="Times New Roman"/>
                <w:color w:val="auto"/>
                <w:kern w:val="2"/>
                <w:sz w:val="24"/>
                <w:szCs w:val="24"/>
                <w:highlight w:val="none"/>
                <w:lang w:val="en-US" w:eastAsia="zh-CN"/>
              </w:rPr>
              <w:t>措施。运输车辆缓慢行驶且不得超载，物料采用苫布遮挡覆盖</w:t>
            </w:r>
            <w:r>
              <w:rPr>
                <w:rFonts w:hint="default" w:ascii="Times New Roman" w:hAnsi="Times New Roman" w:eastAsia="宋体" w:cs="Times New Roman"/>
                <w:color w:val="auto"/>
                <w:kern w:val="2"/>
                <w:sz w:val="24"/>
                <w:szCs w:val="24"/>
                <w:highlight w:val="none"/>
              </w:rPr>
              <w:t>。</w:t>
            </w:r>
            <w:r>
              <w:rPr>
                <w:rFonts w:hint="default" w:ascii="Times New Roman" w:hAnsi="Times New Roman" w:eastAsia="宋体" w:cs="Times New Roman"/>
                <w:color w:val="auto"/>
                <w:kern w:val="2"/>
                <w:sz w:val="24"/>
                <w:szCs w:val="24"/>
                <w:highlight w:val="none"/>
                <w:lang w:val="en-US" w:eastAsia="zh-CN"/>
              </w:rPr>
              <w:t>经计算颗粒物产生量约为3t/a，</w:t>
            </w:r>
            <w:r>
              <w:rPr>
                <w:rFonts w:hint="default" w:ascii="Times New Roman" w:hAnsi="Times New Roman" w:eastAsia="宋体" w:cs="Times New Roman"/>
                <w:color w:val="auto"/>
                <w:kern w:val="2"/>
                <w:sz w:val="24"/>
                <w:szCs w:val="24"/>
                <w:highlight w:val="none"/>
              </w:rPr>
              <w:t>采取以上抑尘措施后，粉尘量可减少</w:t>
            </w:r>
            <w:r>
              <w:rPr>
                <w:rFonts w:hint="default" w:ascii="Times New Roman" w:hAnsi="Times New Roman" w:eastAsia="宋体" w:cs="Times New Roman"/>
                <w:color w:val="auto"/>
                <w:kern w:val="2"/>
                <w:sz w:val="24"/>
                <w:szCs w:val="24"/>
                <w:highlight w:val="none"/>
                <w:lang w:val="en-US" w:eastAsia="zh-CN"/>
              </w:rPr>
              <w:t>95</w:t>
            </w:r>
            <w:r>
              <w:rPr>
                <w:rFonts w:hint="default" w:ascii="Times New Roman" w:hAnsi="Times New Roman" w:eastAsia="宋体" w:cs="Times New Roman"/>
                <w:color w:val="auto"/>
                <w:kern w:val="2"/>
                <w:sz w:val="24"/>
                <w:szCs w:val="24"/>
                <w:highlight w:val="none"/>
              </w:rPr>
              <w:t>%，则道路扬尘排放量为0.</w:t>
            </w:r>
            <w:r>
              <w:rPr>
                <w:rFonts w:hint="default" w:ascii="Times New Roman" w:hAnsi="Times New Roman" w:eastAsia="宋体" w:cs="Times New Roman"/>
                <w:color w:val="auto"/>
                <w:kern w:val="2"/>
                <w:sz w:val="24"/>
                <w:szCs w:val="24"/>
                <w:highlight w:val="none"/>
                <w:lang w:val="en-US" w:eastAsia="zh-CN"/>
              </w:rPr>
              <w:t>15</w:t>
            </w:r>
            <w:r>
              <w:rPr>
                <w:rFonts w:hint="default" w:ascii="Times New Roman" w:hAnsi="Times New Roman" w:eastAsia="宋体" w:cs="Times New Roman"/>
                <w:color w:val="auto"/>
                <w:kern w:val="2"/>
                <w:sz w:val="24"/>
                <w:szCs w:val="24"/>
                <w:highlight w:val="none"/>
              </w:rPr>
              <w:t>t/a。</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b/>
                <w:bCs/>
                <w:color w:val="auto"/>
                <w:sz w:val="24"/>
                <w:szCs w:val="22"/>
                <w:lang w:val="en-US" w:eastAsia="zh-CN"/>
              </w:rPr>
            </w:pPr>
            <w:r>
              <w:rPr>
                <w:rFonts w:hint="default" w:ascii="Times New Roman" w:hAnsi="Times New Roman" w:eastAsia="宋体" w:cs="Times New Roman"/>
                <w:b/>
                <w:bCs/>
                <w:color w:val="auto"/>
                <w:kern w:val="2"/>
                <w:sz w:val="24"/>
                <w:szCs w:val="22"/>
                <w:lang w:val="en-US" w:eastAsia="zh-CN" w:bidi="ar-SA"/>
              </w:rPr>
              <w:t>2、</w:t>
            </w:r>
            <w:r>
              <w:rPr>
                <w:rFonts w:hint="default" w:ascii="Times New Roman" w:hAnsi="Times New Roman" w:eastAsia="宋体" w:cs="Times New Roman"/>
                <w:b/>
                <w:bCs/>
                <w:color w:val="auto"/>
                <w:sz w:val="24"/>
                <w:szCs w:val="22"/>
                <w:lang w:val="en-US" w:eastAsia="zh-CN"/>
              </w:rPr>
              <w:t>废气防治技术可行性分析</w:t>
            </w:r>
          </w:p>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textAlignment w:val="auto"/>
              <w:rPr>
                <w:rFonts w:hint="default" w:ascii="Times New Roman" w:hAnsi="Times New Roman" w:eastAsia="宋体" w:cs="Times New Roman"/>
                <w:b w:val="0"/>
                <w:bCs w:val="0"/>
                <w:color w:val="auto"/>
                <w:sz w:val="24"/>
                <w:lang w:val="en-US" w:eastAsia="zh-CN"/>
              </w:rPr>
            </w:pPr>
            <w:r>
              <w:rPr>
                <w:rFonts w:hint="default" w:ascii="Times New Roman" w:hAnsi="Times New Roman" w:eastAsia="宋体" w:cs="Times New Roman"/>
                <w:b w:val="0"/>
                <w:bCs w:val="0"/>
                <w:color w:val="auto"/>
                <w:sz w:val="24"/>
                <w:lang w:val="en-US" w:eastAsia="zh-CN"/>
              </w:rPr>
              <w:t>本项目</w:t>
            </w:r>
            <w:r>
              <w:rPr>
                <w:rFonts w:hint="default" w:ascii="Times New Roman" w:hAnsi="Times New Roman" w:eastAsia="宋体" w:cs="Times New Roman"/>
                <w:b w:val="0"/>
                <w:bCs w:val="0"/>
                <w:color w:val="auto"/>
                <w:sz w:val="24"/>
                <w:szCs w:val="24"/>
                <w:lang w:val="en-US" w:eastAsia="zh-CN"/>
              </w:rPr>
              <w:t>废气治理措施技术可行性分析</w:t>
            </w:r>
            <w:r>
              <w:rPr>
                <w:rFonts w:hint="default" w:ascii="Times New Roman" w:hAnsi="Times New Roman" w:eastAsia="宋体" w:cs="Times New Roman"/>
                <w:b w:val="0"/>
                <w:bCs w:val="0"/>
                <w:color w:val="auto"/>
                <w:sz w:val="24"/>
                <w:lang w:val="en-US" w:eastAsia="zh-CN"/>
              </w:rPr>
              <w:t>见下表4-5。</w:t>
            </w:r>
          </w:p>
          <w:p>
            <w:pPr>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4-5 本项目废气治理措施技术可行性分析表</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08"/>
              <w:gridCol w:w="1747"/>
              <w:gridCol w:w="1912"/>
              <w:gridCol w:w="1962"/>
              <w:gridCol w:w="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4"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工段</w:t>
                  </w:r>
                </w:p>
              </w:tc>
              <w:tc>
                <w:tcPr>
                  <w:tcW w:w="808"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w:t>
                  </w:r>
                </w:p>
              </w:tc>
              <w:tc>
                <w:tcPr>
                  <w:tcW w:w="1747"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技术规范</w:t>
                  </w:r>
                </w:p>
              </w:tc>
              <w:tc>
                <w:tcPr>
                  <w:tcW w:w="191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rPr>
                  </w:pPr>
                  <w:r>
                    <w:rPr>
                      <w:rFonts w:hint="default" w:ascii="Times New Roman" w:hAnsi="Times New Roman" w:eastAsia="宋体" w:cs="Times New Roman"/>
                      <w:b/>
                      <w:bCs/>
                      <w:color w:val="auto"/>
                      <w:sz w:val="21"/>
                      <w:szCs w:val="21"/>
                      <w:vertAlign w:val="baseline"/>
                      <w:lang w:val="en-US" w:eastAsia="zh-CN"/>
                    </w:rPr>
                    <w:t>污染物防治可行技术</w:t>
                  </w:r>
                </w:p>
              </w:tc>
              <w:tc>
                <w:tcPr>
                  <w:tcW w:w="196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本项目治理措施</w:t>
                  </w:r>
                </w:p>
              </w:tc>
              <w:tc>
                <w:tcPr>
                  <w:tcW w:w="67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是否可行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4"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石料和水洗砂由密闭导料皮带输送至骨料中间仓G2</w:t>
                  </w:r>
                </w:p>
              </w:tc>
              <w:tc>
                <w:tcPr>
                  <w:tcW w:w="808"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颗粒物</w:t>
                  </w: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lang w:val="en-US" w:eastAsia="zh-CN"/>
                    </w:rPr>
                    <w:t>水泥工业污染防治可行技术指南（试行）</w:t>
                  </w:r>
                </w:p>
              </w:tc>
              <w:tc>
                <w:tcPr>
                  <w:tcW w:w="1912"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color w:val="auto"/>
                      <w:kern w:val="0"/>
                      <w:sz w:val="21"/>
                      <w:szCs w:val="21"/>
                      <w:lang w:val="en-US" w:eastAsia="zh-CN" w:bidi="ar"/>
                    </w:rPr>
                    <w:t>袋式除尘技术适用于水泥企业各工序废气的颗粒物治理。</w:t>
                  </w:r>
                </w:p>
              </w:tc>
              <w:tc>
                <w:tcPr>
                  <w:tcW w:w="1962" w:type="dxa"/>
                  <w:vMerge w:val="restart"/>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密闭输送皮带；搅拌机配套的布袋除尘机</w:t>
                  </w:r>
                  <w:r>
                    <w:rPr>
                      <w:rFonts w:hint="eastAsia" w:ascii="Times New Roman" w:hAnsi="Times New Roman" w:eastAsia="宋体" w:cs="Times New Roman"/>
                      <w:b w:val="0"/>
                      <w:bCs w:val="0"/>
                      <w:color w:val="auto"/>
                      <w:sz w:val="21"/>
                      <w:szCs w:val="21"/>
                      <w:lang w:val="en-US" w:eastAsia="zh-CN"/>
                    </w:rPr>
                    <w:t>.</w:t>
                  </w:r>
                </w:p>
              </w:tc>
              <w:tc>
                <w:tcPr>
                  <w:tcW w:w="676"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04"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kern w:val="2"/>
                      <w:sz w:val="21"/>
                      <w:szCs w:val="21"/>
                      <w:lang w:val="en-US" w:eastAsia="zh-CN" w:bidi="ar-SA"/>
                    </w:rPr>
                    <w:t>搅拌机搅拌废气G4</w:t>
                  </w:r>
                </w:p>
              </w:tc>
              <w:tc>
                <w:tcPr>
                  <w:tcW w:w="808"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《排污许可证申请与核发技术规范 水泥工业》（HJ847-2017</w:t>
                  </w:r>
                  <w:r>
                    <w:rPr>
                      <w:rFonts w:hint="eastAsia" w:ascii="Times New Roman" w:hAnsi="Times New Roman" w:eastAsia="宋体" w:cs="Times New Roman"/>
                      <w:b w:val="0"/>
                      <w:bCs w:val="0"/>
                      <w:color w:val="auto"/>
                      <w:sz w:val="21"/>
                      <w:szCs w:val="21"/>
                      <w:lang w:val="en-US" w:eastAsia="zh-CN"/>
                    </w:rPr>
                    <w:t>)</w:t>
                  </w:r>
                </w:p>
              </w:tc>
              <w:tc>
                <w:tcPr>
                  <w:tcW w:w="1912"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“一般地区排污单位-袋式除尘器、电除尘器、电袋复合除尘器”</w:t>
                  </w:r>
                </w:p>
              </w:tc>
              <w:tc>
                <w:tcPr>
                  <w:tcW w:w="1962"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p>
              </w:tc>
              <w:tc>
                <w:tcPr>
                  <w:tcW w:w="676"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4"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SA"/>
                    </w:rPr>
                    <w:t>其他无组织排放废气</w:t>
                  </w:r>
                </w:p>
              </w:tc>
              <w:tc>
                <w:tcPr>
                  <w:tcW w:w="808"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颗粒物</w:t>
                  </w:r>
                </w:p>
              </w:tc>
              <w:tc>
                <w:tcPr>
                  <w:tcW w:w="1747"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《污染源源强核算技术指南 水泥工业》（HJ886-2018</w:t>
                  </w:r>
                  <w:r>
                    <w:rPr>
                      <w:rFonts w:hint="eastAsia" w:ascii="Times New Roman" w:hAnsi="Times New Roman" w:eastAsia="宋体" w:cs="Times New Roman"/>
                      <w:b w:val="0"/>
                      <w:bCs w:val="0"/>
                      <w:color w:val="auto"/>
                      <w:sz w:val="21"/>
                      <w:szCs w:val="21"/>
                      <w:lang w:val="en-US" w:eastAsia="zh-CN"/>
                    </w:rPr>
                    <w:t>)</w:t>
                  </w:r>
                </w:p>
              </w:tc>
              <w:tc>
                <w:tcPr>
                  <w:tcW w:w="1912" w:type="dxa"/>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vertAlign w:val="baseline"/>
                      <w:lang w:val="en-US" w:eastAsia="zh-CN"/>
                    </w:rPr>
                    <w:t>物料处理、输送、装卸、储存过程应当封闭，对块石、粘湿物料、浆料以及车船装卸料过程也可采取其他有效抑尘措施，控制颗粒物无组织排放</w:t>
                  </w:r>
                </w:p>
              </w:tc>
              <w:tc>
                <w:tcPr>
                  <w:tcW w:w="1962"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val="0"/>
                      <w:color w:val="auto"/>
                      <w:kern w:val="0"/>
                      <w:sz w:val="21"/>
                      <w:szCs w:val="21"/>
                      <w:lang w:val="en-US" w:eastAsia="zh-CN" w:bidi="ar"/>
                    </w:rPr>
                    <w:t>配料机上料口设置静电挡尘帘；厂区道路、</w:t>
                  </w:r>
                  <w:r>
                    <w:rPr>
                      <w:rFonts w:hint="eastAsia" w:cs="Times New Roman"/>
                      <w:b w:val="0"/>
                      <w:bCs w:val="0"/>
                      <w:color w:val="auto"/>
                      <w:kern w:val="0"/>
                      <w:sz w:val="21"/>
                      <w:szCs w:val="21"/>
                      <w:lang w:val="en-US" w:eastAsia="zh-CN" w:bidi="ar"/>
                    </w:rPr>
                    <w:t>原料仓</w:t>
                  </w:r>
                  <w:r>
                    <w:rPr>
                      <w:rFonts w:hint="default" w:ascii="Times New Roman" w:hAnsi="Times New Roman" w:eastAsia="宋体" w:cs="Times New Roman"/>
                      <w:b w:val="0"/>
                      <w:bCs w:val="0"/>
                      <w:color w:val="auto"/>
                      <w:kern w:val="0"/>
                      <w:sz w:val="21"/>
                      <w:szCs w:val="21"/>
                      <w:lang w:val="en-US" w:eastAsia="zh-CN" w:bidi="ar"/>
                    </w:rPr>
                    <w:t>定期洒水降尘；厂区门口设置车辆冲洗平台，运输车辆缓慢行驶且不得超载，物料采用苫布遮挡覆盖。</w:t>
                  </w:r>
                </w:p>
              </w:tc>
              <w:tc>
                <w:tcPr>
                  <w:tcW w:w="676" w:type="dxa"/>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可行</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b w:val="0"/>
                <w:bCs w:val="0"/>
                <w:color w:val="auto"/>
                <w:kern w:val="2"/>
                <w:sz w:val="24"/>
                <w:szCs w:val="22"/>
                <w:lang w:val="en-US" w:eastAsia="zh-CN" w:bidi="ar-SA"/>
              </w:rPr>
            </w:pPr>
            <w:r>
              <w:rPr>
                <w:rFonts w:hint="default" w:ascii="Times New Roman" w:hAnsi="Times New Roman" w:eastAsia="宋体" w:cs="Times New Roman"/>
                <w:b w:val="0"/>
                <w:bCs w:val="0"/>
                <w:color w:val="auto"/>
                <w:kern w:val="2"/>
                <w:sz w:val="24"/>
                <w:szCs w:val="22"/>
                <w:lang w:val="en-US" w:eastAsia="zh-CN" w:bidi="ar-SA"/>
              </w:rPr>
              <w:t>根据上表分析，</w:t>
            </w:r>
            <w:r>
              <w:rPr>
                <w:rFonts w:hint="default" w:ascii="Times New Roman" w:hAnsi="Times New Roman" w:eastAsia="宋体" w:cs="Times New Roman"/>
                <w:b w:val="0"/>
                <w:bCs w:val="0"/>
                <w:color w:val="auto"/>
                <w:kern w:val="0"/>
                <w:sz w:val="24"/>
                <w:szCs w:val="24"/>
                <w:lang w:val="en-US" w:eastAsia="zh-CN" w:bidi="ar"/>
              </w:rPr>
              <w:t>本项目设置的相关废气污染防治措施可行。采取上述措施后，项目废气排放对周边大气环境影响较小。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b/>
                <w:bCs/>
                <w:color w:val="auto"/>
                <w:kern w:val="2"/>
                <w:sz w:val="24"/>
                <w:szCs w:val="22"/>
                <w:lang w:val="en-US" w:eastAsia="zh-CN" w:bidi="ar-SA"/>
              </w:rPr>
            </w:pPr>
            <w:r>
              <w:rPr>
                <w:rFonts w:hint="default" w:ascii="Times New Roman" w:hAnsi="Times New Roman" w:eastAsia="宋体" w:cs="Times New Roman"/>
                <w:b/>
                <w:bCs/>
                <w:color w:val="auto"/>
                <w:kern w:val="2"/>
                <w:sz w:val="24"/>
                <w:szCs w:val="22"/>
                <w:lang w:val="en-US" w:eastAsia="zh-CN" w:bidi="ar-SA"/>
              </w:rPr>
              <w:t>3、运营期监测计划</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根据《《排污许可证申请与核发技术规范 水泥工业》（HJ847-2017</w:t>
            </w:r>
            <w:r>
              <w:rPr>
                <w:rFonts w:hint="eastAsia"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HJ1119-2020）及《排污单位自行监测技术指南总则》（H819-2017）等相关标准、规范要求，并结合项目运营期间污染物排放特点，制定本项目的污染源监测计划，建设单位需保证按监测计划实施。监测分析方法按照现行国家、部颁标准和有关规定执行。本项目大气自行监测计划见表4-6。</w:t>
            </w:r>
          </w:p>
          <w:p>
            <w:pPr>
              <w:adjustRightInd w:val="0"/>
              <w:snapToGrid w:val="0"/>
              <w:ind w:right="105" w:rightChars="5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w:t>
            </w:r>
            <w:r>
              <w:rPr>
                <w:rFonts w:hint="default" w:ascii="Times New Roman" w:hAns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rPr>
              <w:t xml:space="preserve">  本项目运营期大气环境监测计划一览表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094"/>
              <w:gridCol w:w="1176"/>
              <w:gridCol w:w="46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监测位置</w:t>
                  </w:r>
                </w:p>
              </w:tc>
              <w:tc>
                <w:tcPr>
                  <w:tcW w:w="109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监测指标</w:t>
                  </w:r>
                </w:p>
              </w:tc>
              <w:tc>
                <w:tcPr>
                  <w:tcW w:w="117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监测频次</w:t>
                  </w:r>
                </w:p>
              </w:tc>
              <w:tc>
                <w:tcPr>
                  <w:tcW w:w="4669"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厂界</w:t>
                  </w:r>
                </w:p>
              </w:tc>
              <w:tc>
                <w:tcPr>
                  <w:tcW w:w="1094"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颗粒物</w:t>
                  </w:r>
                </w:p>
              </w:tc>
              <w:tc>
                <w:tcPr>
                  <w:tcW w:w="1176" w:type="dxa"/>
                  <w:noWrap w:val="0"/>
                  <w:vAlign w:val="center"/>
                </w:tcPr>
                <w:p>
                  <w:pPr>
                    <w:pStyle w:val="2"/>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z w:val="21"/>
                      <w:szCs w:val="21"/>
                      <w:lang w:val="en-US" w:eastAsia="zh-CN"/>
                    </w:rPr>
                    <w:t>1次/季度</w:t>
                  </w:r>
                </w:p>
              </w:tc>
              <w:tc>
                <w:tcPr>
                  <w:tcW w:w="466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《水泥工业大气污染物排放标准》(GB 4915-2013)</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废水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2" w:firstLineChars="200"/>
              <w:jc w:val="left"/>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产排污分析</w:t>
            </w:r>
          </w:p>
          <w:p>
            <w:pPr>
              <w:pStyle w:val="20"/>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项目产生废水主要包括生活污水和生产废水。</w:t>
            </w:r>
          </w:p>
          <w:p>
            <w:pPr>
              <w:pStyle w:val="20"/>
              <w:keepNext w:val="0"/>
              <w:keepLines w:val="0"/>
              <w:pageBreakBefore w:val="0"/>
              <w:kinsoku/>
              <w:wordWrap/>
              <w:overflowPunct/>
              <w:topLinePunct w:val="0"/>
              <w:autoSpaceDE/>
              <w:autoSpaceDN/>
              <w:bidi w:val="0"/>
              <w:adjustRightInd w:val="0"/>
              <w:snapToGrid w:val="0"/>
              <w:spacing w:before="0" w:after="0" w:line="360" w:lineRule="auto"/>
              <w:ind w:right="0" w:firstLine="480" w:firstLineChars="200"/>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（1）生活污水</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auto"/>
                <w:kern w:val="2"/>
                <w:szCs w:val="22"/>
              </w:rPr>
            </w:pPr>
            <w:r>
              <w:rPr>
                <w:rFonts w:hint="default" w:ascii="Times New Roman" w:hAnsi="Times New Roman" w:eastAsia="宋体" w:cs="Times New Roman"/>
                <w:color w:val="auto"/>
                <w:kern w:val="2"/>
                <w:szCs w:val="22"/>
              </w:rPr>
              <w:t>本项目劳动定员为</w:t>
            </w:r>
            <w:r>
              <w:rPr>
                <w:rFonts w:hint="eastAsia" w:cs="Times New Roman"/>
                <w:color w:val="auto"/>
                <w:kern w:val="2"/>
                <w:szCs w:val="22"/>
                <w:lang w:val="en-US" w:eastAsia="zh-CN"/>
              </w:rPr>
              <w:t>20</w:t>
            </w:r>
            <w:r>
              <w:rPr>
                <w:rFonts w:hint="default" w:ascii="Times New Roman" w:hAnsi="Times New Roman" w:eastAsia="宋体" w:cs="Times New Roman"/>
                <w:color w:val="auto"/>
                <w:kern w:val="2"/>
                <w:szCs w:val="22"/>
              </w:rPr>
              <w:t>人，全年工作天数为</w:t>
            </w:r>
            <w:r>
              <w:rPr>
                <w:rFonts w:hint="eastAsia" w:cs="Times New Roman"/>
                <w:color w:val="auto"/>
                <w:kern w:val="2"/>
                <w:szCs w:val="22"/>
                <w:lang w:val="en-US" w:eastAsia="zh-CN"/>
              </w:rPr>
              <w:t>450</w:t>
            </w:r>
            <w:r>
              <w:rPr>
                <w:rFonts w:hint="default" w:ascii="Times New Roman" w:hAnsi="Times New Roman" w:eastAsia="宋体" w:cs="Times New Roman"/>
                <w:color w:val="auto"/>
                <w:kern w:val="2"/>
                <w:szCs w:val="22"/>
              </w:rPr>
              <w:t>天</w:t>
            </w:r>
            <w:r>
              <w:rPr>
                <w:rFonts w:hint="default" w:ascii="Times New Roman" w:hAnsi="Times New Roman" w:eastAsia="宋体" w:cs="Times New Roman"/>
                <w:color w:val="auto"/>
                <w:kern w:val="2"/>
                <w:szCs w:val="22"/>
                <w:lang w:eastAsia="zh-CN"/>
              </w:rPr>
              <w:t>，</w:t>
            </w:r>
            <w:r>
              <w:rPr>
                <w:rFonts w:hint="default" w:ascii="Times New Roman" w:hAnsi="Times New Roman" w:eastAsia="宋体" w:cs="Times New Roman"/>
                <w:color w:val="auto"/>
                <w:kern w:val="2"/>
                <w:szCs w:val="22"/>
              </w:rPr>
              <w:t>不在厂区内设置食宿</w:t>
            </w:r>
            <w:r>
              <w:rPr>
                <w:rFonts w:hint="default" w:ascii="Times New Roman" w:hAnsi="Times New Roman" w:eastAsia="宋体" w:cs="Times New Roman"/>
                <w:color w:val="auto"/>
                <w:kern w:val="2"/>
                <w:szCs w:val="22"/>
                <w:lang w:eastAsia="zh-CN"/>
              </w:rPr>
              <w:t>，</w:t>
            </w:r>
            <w:r>
              <w:rPr>
                <w:rFonts w:hint="default" w:ascii="Times New Roman" w:hAnsi="Times New Roman" w:eastAsia="宋体" w:cs="Times New Roman"/>
                <w:color w:val="auto"/>
                <w:kern w:val="2"/>
                <w:szCs w:val="22"/>
                <w:lang w:val="en-US" w:eastAsia="zh-CN"/>
              </w:rPr>
              <w:t>值班人员食宿依托</w:t>
            </w:r>
            <w:r>
              <w:rPr>
                <w:rFonts w:hint="eastAsia" w:cs="Times New Roman"/>
                <w:color w:val="auto"/>
                <w:kern w:val="2"/>
                <w:szCs w:val="22"/>
                <w:lang w:val="en-US" w:eastAsia="zh-CN"/>
              </w:rPr>
              <w:t>项目部</w:t>
            </w:r>
            <w:r>
              <w:rPr>
                <w:rFonts w:hint="default" w:ascii="Times New Roman" w:hAnsi="Times New Roman" w:eastAsia="宋体" w:cs="Times New Roman"/>
                <w:color w:val="auto"/>
                <w:kern w:val="2"/>
                <w:szCs w:val="22"/>
              </w:rPr>
              <w:t>。</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auto"/>
                <w:kern w:val="2"/>
                <w:szCs w:val="22"/>
              </w:rPr>
            </w:pPr>
            <w:r>
              <w:rPr>
                <w:rFonts w:hint="default" w:ascii="Times New Roman" w:hAnsi="Times New Roman" w:eastAsia="宋体" w:cs="Times New Roman"/>
                <w:color w:val="auto"/>
                <w:kern w:val="2"/>
                <w:szCs w:val="22"/>
                <w:lang w:val="en-US" w:eastAsia="zh-CN"/>
              </w:rPr>
              <w:t>项目</w:t>
            </w:r>
            <w:r>
              <w:rPr>
                <w:rFonts w:hint="default" w:ascii="Times New Roman" w:hAnsi="Times New Roman" w:eastAsia="宋体" w:cs="Times New Roman"/>
                <w:color w:val="auto"/>
                <w:kern w:val="2"/>
                <w:szCs w:val="22"/>
              </w:rPr>
              <w:t>生活用水定额按</w:t>
            </w:r>
            <w:r>
              <w:rPr>
                <w:rFonts w:hint="eastAsia" w:cs="Times New Roman"/>
                <w:color w:val="auto"/>
                <w:kern w:val="2"/>
                <w:szCs w:val="22"/>
                <w:lang w:val="en-US" w:eastAsia="zh-CN"/>
              </w:rPr>
              <w:t>70</w:t>
            </w:r>
            <w:r>
              <w:rPr>
                <w:rFonts w:hint="default" w:ascii="Times New Roman" w:hAnsi="Times New Roman" w:eastAsia="宋体" w:cs="Times New Roman"/>
                <w:color w:val="auto"/>
                <w:kern w:val="2"/>
                <w:szCs w:val="22"/>
              </w:rPr>
              <w:t>L/人·d计，则生活用水量约为</w:t>
            </w:r>
            <w:r>
              <w:rPr>
                <w:rFonts w:hint="eastAsia" w:cs="Times New Roman"/>
                <w:color w:val="auto"/>
                <w:kern w:val="2"/>
                <w:szCs w:val="22"/>
                <w:lang w:val="en-US" w:eastAsia="zh-CN"/>
              </w:rPr>
              <w:t>1.4</w:t>
            </w:r>
            <w:r>
              <w:rPr>
                <w:rFonts w:hint="default" w:ascii="Times New Roman" w:hAnsi="Times New Roman" w:eastAsia="宋体" w:cs="Times New Roman"/>
                <w:color w:val="auto"/>
                <w:kern w:val="2"/>
                <w:szCs w:val="22"/>
              </w:rPr>
              <w:t>m</w:t>
            </w:r>
            <w:r>
              <w:rPr>
                <w:rFonts w:hint="default" w:ascii="Times New Roman" w:hAnsi="Times New Roman" w:eastAsia="宋体" w:cs="Times New Roman"/>
                <w:color w:val="auto"/>
                <w:kern w:val="2"/>
                <w:szCs w:val="22"/>
                <w:vertAlign w:val="superscript"/>
              </w:rPr>
              <w:t>3</w:t>
            </w:r>
            <w:r>
              <w:rPr>
                <w:rFonts w:hint="default" w:ascii="Times New Roman" w:hAnsi="Times New Roman" w:eastAsia="宋体" w:cs="Times New Roman"/>
                <w:color w:val="auto"/>
                <w:kern w:val="2"/>
                <w:szCs w:val="22"/>
              </w:rPr>
              <w:t>/d。生活污水量以生活给水量的80%计，污水量为</w:t>
            </w:r>
            <w:r>
              <w:rPr>
                <w:rFonts w:hint="eastAsia" w:cs="Times New Roman"/>
                <w:color w:val="auto"/>
                <w:kern w:val="2"/>
                <w:szCs w:val="22"/>
                <w:lang w:val="en-US" w:eastAsia="zh-CN"/>
              </w:rPr>
              <w:t>1.12</w:t>
            </w:r>
            <w:r>
              <w:rPr>
                <w:rFonts w:hint="default" w:ascii="Times New Roman" w:hAnsi="Times New Roman" w:eastAsia="宋体" w:cs="Times New Roman"/>
                <w:color w:val="auto"/>
                <w:kern w:val="2"/>
                <w:szCs w:val="22"/>
              </w:rPr>
              <w:t>，生活污水</w:t>
            </w:r>
            <w:r>
              <w:rPr>
                <w:rFonts w:hint="eastAsia" w:cs="Times New Roman"/>
                <w:color w:val="auto"/>
                <w:kern w:val="2"/>
                <w:szCs w:val="22"/>
                <w:lang w:val="en-US" w:eastAsia="zh-CN"/>
              </w:rPr>
              <w:t>经</w:t>
            </w:r>
            <w:r>
              <w:rPr>
                <w:rFonts w:hint="default" w:ascii="Times New Roman" w:hAnsi="Times New Roman" w:eastAsia="宋体" w:cs="Times New Roman"/>
                <w:color w:val="auto"/>
                <w:kern w:val="2"/>
                <w:szCs w:val="22"/>
              </w:rPr>
              <w:t>厂区旱厕堆肥后由建设方清掏外运</w:t>
            </w:r>
            <w:r>
              <w:rPr>
                <w:rFonts w:hint="default" w:ascii="Times New Roman" w:hAnsi="Times New Roman" w:eastAsia="宋体" w:cs="Times New Roman"/>
                <w:color w:val="auto"/>
                <w:kern w:val="2"/>
                <w:szCs w:val="22"/>
                <w:lang w:val="en-US" w:eastAsia="zh-CN"/>
              </w:rPr>
              <w:t>还田</w:t>
            </w:r>
            <w:r>
              <w:rPr>
                <w:rFonts w:hint="default" w:ascii="Times New Roman" w:hAnsi="Times New Roman" w:eastAsia="宋体" w:cs="Times New Roman"/>
                <w:color w:val="auto"/>
                <w:kern w:val="2"/>
                <w:szCs w:val="22"/>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生产废水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混凝土用水全部进入产品，无废水产生；</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搅拌机清洗废水按用水量的80％计，产生量为1.6m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/d，经10m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车辆冲洗废水按用水量的80％计，产生量为0.89m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/d，经10m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lang w:val="en-US" w:eastAsia="zh-CN"/>
              </w:rPr>
              <w:t>的临时沉淀池沉淀，取上清液回用于厂区道路洒水抑尘，不外排；</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厂区道路降尘用水自然蒸发，无废水产生。</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ind w:firstLine="48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2"/>
                <w:sz w:val="24"/>
                <w:szCs w:val="24"/>
              </w:rPr>
              <w:t>综上</w:t>
            </w:r>
            <w:r>
              <w:rPr>
                <w:rFonts w:hint="default" w:ascii="Times New Roman" w:hAnsi="Times New Roman" w:eastAsia="宋体" w:cs="Times New Roman"/>
                <w:color w:val="auto"/>
                <w:kern w:val="2"/>
                <w:sz w:val="24"/>
                <w:szCs w:val="24"/>
                <w:lang w:val="en-US" w:eastAsia="zh-CN"/>
              </w:rPr>
              <w:t>所述，</w:t>
            </w:r>
            <w:r>
              <w:rPr>
                <w:rFonts w:hint="default" w:ascii="Times New Roman" w:hAnsi="Times New Roman" w:eastAsia="宋体" w:cs="Times New Roman"/>
                <w:color w:val="auto"/>
                <w:kern w:val="2"/>
                <w:sz w:val="24"/>
                <w:szCs w:val="24"/>
              </w:rPr>
              <w:t>本项目</w:t>
            </w:r>
            <w:r>
              <w:rPr>
                <w:rFonts w:hint="default" w:ascii="Times New Roman" w:hAnsi="Times New Roman" w:eastAsia="宋体" w:cs="Times New Roman"/>
                <w:color w:val="auto"/>
                <w:kern w:val="2"/>
                <w:sz w:val="24"/>
                <w:szCs w:val="24"/>
                <w:lang w:val="en-US" w:eastAsia="zh-CN"/>
              </w:rPr>
              <w:t>产生废水均合理处置</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不外排，</w:t>
            </w:r>
            <w:r>
              <w:rPr>
                <w:rFonts w:hint="default" w:ascii="Times New Roman" w:hAnsi="Times New Roman" w:eastAsia="宋体" w:cs="Times New Roman"/>
                <w:color w:val="auto"/>
                <w:kern w:val="2"/>
                <w:sz w:val="24"/>
                <w:szCs w:val="24"/>
              </w:rPr>
              <w:t>营运期对厂区</w:t>
            </w:r>
            <w:r>
              <w:rPr>
                <w:rFonts w:hint="default" w:ascii="Times New Roman" w:hAnsi="Times New Roman" w:eastAsia="宋体" w:cs="Times New Roman"/>
                <w:color w:val="auto"/>
                <w:kern w:val="2"/>
                <w:sz w:val="24"/>
                <w:szCs w:val="24"/>
                <w:lang w:val="en-US" w:eastAsia="zh-CN"/>
              </w:rPr>
              <w:t>周边</w:t>
            </w:r>
            <w:r>
              <w:rPr>
                <w:rFonts w:hint="default" w:ascii="Times New Roman" w:hAnsi="Times New Roman" w:eastAsia="宋体" w:cs="Times New Roman"/>
                <w:color w:val="auto"/>
                <w:kern w:val="2"/>
                <w:sz w:val="24"/>
                <w:szCs w:val="24"/>
              </w:rPr>
              <w:t>水环境影响较小。</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auto"/>
              <w:ind w:leftChars="0"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噪声</w:t>
            </w:r>
          </w:p>
          <w:p>
            <w:pPr>
              <w:pStyle w:val="45"/>
              <w:keepNext w:val="0"/>
              <w:keepLines w:val="0"/>
              <w:pageBreakBefore w:val="0"/>
              <w:widowControl w:val="0"/>
              <w:numPr>
                <w:ilvl w:val="0"/>
                <w:numId w:val="0"/>
              </w:numPr>
              <w:kinsoku/>
              <w:wordWrap/>
              <w:overflowPunct/>
              <w:topLinePunct w:val="0"/>
              <w:autoSpaceDE/>
              <w:autoSpaceDN/>
              <w:bidi w:val="0"/>
              <w:adjustRightInd w:val="0"/>
              <w:snapToGrid w:val="0"/>
              <w:ind w:leftChars="0" w:firstLine="482" w:firstLineChars="200"/>
              <w:textAlignment w:val="auto"/>
              <w:rPr>
                <w:rFonts w:hint="default" w:ascii="Times New Roman" w:hAnsi="Times New Roman" w:eastAsia="宋体" w:cs="Times New Roman"/>
                <w:b/>
                <w:bCs w:val="0"/>
                <w:color w:val="auto"/>
                <w:sz w:val="24"/>
                <w:szCs w:val="32"/>
                <w:highlight w:val="none"/>
                <w:lang w:val="en-US" w:eastAsia="zh-CN"/>
              </w:rPr>
            </w:pPr>
            <w:r>
              <w:rPr>
                <w:rFonts w:hint="default" w:ascii="Times New Roman" w:hAnsi="Times New Roman" w:eastAsia="宋体" w:cs="Times New Roman"/>
                <w:b/>
                <w:bCs w:val="0"/>
                <w:color w:val="auto"/>
                <w:sz w:val="24"/>
                <w:szCs w:val="32"/>
                <w:highlight w:val="none"/>
                <w:lang w:val="en-US" w:eastAsia="zh-CN"/>
              </w:rPr>
              <w:t>1、噪声分析及预测</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本项目噪声主要为</w:t>
            </w:r>
            <w:r>
              <w:rPr>
                <w:rFonts w:hint="default" w:ascii="Times New Roman" w:hAnsi="Times New Roman" w:eastAsia="宋体" w:cs="Times New Roman"/>
                <w:color w:val="auto"/>
                <w:sz w:val="24"/>
                <w:highlight w:val="none"/>
                <w:lang w:val="en-US" w:eastAsia="zh-CN"/>
              </w:rPr>
              <w:t>搅拌机、配料机、皮带机、螺旋输送机、水泵等</w:t>
            </w:r>
            <w:r>
              <w:rPr>
                <w:rFonts w:hint="default" w:ascii="Times New Roman" w:hAnsi="Times New Roman" w:eastAsia="宋体" w:cs="Times New Roman"/>
                <w:snapToGrid w:val="0"/>
                <w:color w:val="auto"/>
                <w:kern w:val="0"/>
                <w:sz w:val="24"/>
                <w:highlight w:val="none"/>
              </w:rPr>
              <w:t>设备</w:t>
            </w:r>
            <w:r>
              <w:rPr>
                <w:rFonts w:hint="default" w:ascii="Times New Roman" w:hAnsi="Times New Roman" w:eastAsia="宋体" w:cs="Times New Roman"/>
                <w:color w:val="auto"/>
                <w:sz w:val="24"/>
                <w:highlight w:val="none"/>
              </w:rPr>
              <w:t>产生的噪声，设备</w:t>
            </w:r>
            <w:r>
              <w:rPr>
                <w:rFonts w:hint="default" w:ascii="Times New Roman" w:hAnsi="Times New Roman" w:eastAsia="宋体" w:cs="Times New Roman"/>
                <w:color w:val="auto"/>
                <w:sz w:val="24"/>
                <w:highlight w:val="none"/>
                <w:lang w:val="en-US" w:eastAsia="zh-CN"/>
              </w:rPr>
              <w:t>采取隔声、</w:t>
            </w:r>
            <w:r>
              <w:rPr>
                <w:rFonts w:hint="default" w:ascii="Times New Roman" w:hAnsi="Times New Roman" w:eastAsia="宋体" w:cs="Times New Roman"/>
                <w:color w:val="auto"/>
                <w:sz w:val="24"/>
                <w:highlight w:val="none"/>
              </w:rPr>
              <w:t>基础减振等降噪措施。</w:t>
            </w:r>
            <w:r>
              <w:rPr>
                <w:rFonts w:hint="default" w:ascii="Times New Roman" w:hAnsi="Times New Roman" w:eastAsia="宋体" w:cs="Times New Roman"/>
                <w:color w:val="auto"/>
                <w:sz w:val="24"/>
                <w:highlight w:val="none"/>
                <w:lang w:val="en-US" w:eastAsia="zh-CN"/>
              </w:rPr>
              <w:t>噪声预测范围为项目四周的厂界和厂界50m范围内的声环境敏感点。项目各设备噪声及治理措施见表4-7。</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highlight w:val="none"/>
                <w:lang w:val="en-US" w:eastAsia="zh-CN"/>
              </w:rPr>
              <w:t>表4-7  项目主要噪声源及降噪措施一览表</w:t>
            </w:r>
          </w:p>
          <w:tbl>
            <w:tblPr>
              <w:tblStyle w:val="23"/>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545"/>
              <w:gridCol w:w="1277"/>
              <w:gridCol w:w="1203"/>
              <w:gridCol w:w="758"/>
              <w:gridCol w:w="730"/>
              <w:gridCol w:w="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声源名称</w:t>
                  </w:r>
                </w:p>
              </w:tc>
              <w:tc>
                <w:tcPr>
                  <w:tcW w:w="1545"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规格型号</w:t>
                  </w:r>
                </w:p>
              </w:tc>
              <w:tc>
                <w:tcPr>
                  <w:tcW w:w="1277"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声源声压级dB(A)</w:t>
                  </w:r>
                </w:p>
              </w:tc>
              <w:tc>
                <w:tcPr>
                  <w:tcW w:w="1203"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声源控制措施</w:t>
                  </w:r>
                </w:p>
              </w:tc>
              <w:tc>
                <w:tcPr>
                  <w:tcW w:w="2218" w:type="dxa"/>
                  <w:gridSpan w:val="3"/>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空间相对位置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545"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277"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X</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Y</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eastAsia="宋体" w:cs="Times New Roman"/>
                      <w:b/>
                      <w:bCs/>
                      <w:color w:val="auto"/>
                      <w:sz w:val="21"/>
                      <w:szCs w:val="21"/>
                      <w:highlight w:val="none"/>
                      <w:vertAlign w:val="baseline"/>
                      <w:lang w:val="en-US" w:eastAsia="zh-CN"/>
                    </w:rPr>
                    <w:t>Z</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搅拌机</w:t>
                  </w:r>
                </w:p>
              </w:tc>
              <w:tc>
                <w:tcPr>
                  <w:tcW w:w="154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snapToGrid w:val="0"/>
                      <w:color w:val="auto"/>
                      <w:kern w:val="0"/>
                      <w:sz w:val="21"/>
                      <w:szCs w:val="21"/>
                      <w:highlight w:val="none"/>
                      <w:lang w:val="en-US" w:eastAsia="zh-CN"/>
                    </w:rPr>
                    <w:t>JS3000</w:t>
                  </w:r>
                  <w:r>
                    <w:rPr>
                      <w:rFonts w:hint="default" w:ascii="Times New Roman" w:hAnsi="Times New Roman" w:eastAsia="宋体" w:cs="Times New Roman"/>
                      <w:snapToGrid w:val="0"/>
                      <w:color w:val="auto"/>
                      <w:kern w:val="0"/>
                      <w:sz w:val="21"/>
                      <w:szCs w:val="21"/>
                      <w:highlight w:val="none"/>
                      <w:lang w:val="en-US" w:eastAsia="zh-CN"/>
                    </w:rPr>
                    <w:t>型</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85</w:t>
                  </w:r>
                </w:p>
              </w:tc>
              <w:tc>
                <w:tcPr>
                  <w:tcW w:w="1203" w:type="dxa"/>
                  <w:vMerge w:val="restart"/>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选择低噪声设备，采取隔声、基础减振等措施。</w:t>
                  </w: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262.2</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36.2</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rPr>
                    <w:t>配料机</w:t>
                  </w:r>
                </w:p>
              </w:tc>
              <w:tc>
                <w:tcPr>
                  <w:tcW w:w="1545"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b w:val="0"/>
                      <w:bCs/>
                      <w:color w:val="auto"/>
                      <w:sz w:val="21"/>
                      <w:szCs w:val="21"/>
                      <w:highlight w:val="none"/>
                      <w:vertAlign w:val="baseline"/>
                      <w:lang w:val="en-US" w:eastAsia="zh-CN"/>
                    </w:rPr>
                    <w:t>ZEL-3-HT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40</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86.3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皮带机</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u w:val="none"/>
                      <w:lang w:val="en-US" w:eastAsia="zh-CN" w:bidi="ar-SA"/>
                    </w:rPr>
                  </w:pPr>
                  <w:r>
                    <w:rPr>
                      <w:rFonts w:hint="default" w:ascii="Times New Roman" w:hAnsi="Times New Roman" w:eastAsia="宋体" w:cs="Times New Roman"/>
                      <w:snapToGrid w:val="0"/>
                      <w:color w:val="auto"/>
                      <w:kern w:val="0"/>
                      <w:sz w:val="21"/>
                      <w:szCs w:val="21"/>
                      <w:highlight w:val="none"/>
                      <w:u w:val="none"/>
                      <w:lang w:val="en-US" w:eastAsia="zh-CN" w:bidi="ar-SA"/>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cs="Times New Roman"/>
                      <w:color w:val="auto"/>
                      <w:sz w:val="21"/>
                      <w:szCs w:val="21"/>
                      <w:highlight w:val="none"/>
                      <w:vertAlign w:val="baseline"/>
                      <w:lang w:val="en-US" w:eastAsia="zh-CN"/>
                    </w:rPr>
                    <w:t>35.3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rightChars="0" w:firstLine="0" w:firstLineChars="0"/>
                    <w:jc w:val="center"/>
                    <w:rPr>
                      <w:rFonts w:hint="default" w:ascii="Times New Roman" w:hAnsi="Times New Roman" w:eastAsia="宋体" w:cs="Times New Roman"/>
                      <w:color w:val="auto"/>
                      <w:kern w:val="0"/>
                      <w:sz w:val="21"/>
                      <w:szCs w:val="21"/>
                      <w:highlight w:val="none"/>
                      <w:vertAlign w:val="baseline"/>
                      <w:lang w:val="en-US" w:eastAsia="zh-CN" w:bidi="ar-SA"/>
                    </w:rPr>
                  </w:pPr>
                  <w:r>
                    <w:rPr>
                      <w:rFonts w:hint="eastAsia" w:cs="Times New Roman"/>
                      <w:color w:val="auto"/>
                      <w:kern w:val="0"/>
                      <w:sz w:val="21"/>
                      <w:szCs w:val="21"/>
                      <w:highlight w:val="none"/>
                      <w:vertAlign w:val="baseline"/>
                      <w:lang w:val="en-US" w:eastAsia="zh-CN" w:bidi="ar-SA"/>
                    </w:rPr>
                    <w:t>70.7</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螺旋输送机</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80</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45.3</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6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snapToGrid w:val="0"/>
                      <w:color w:val="auto"/>
                      <w:kern w:val="0"/>
                      <w:sz w:val="21"/>
                      <w:szCs w:val="21"/>
                      <w:highlight w:val="none"/>
                      <w:lang w:val="en-US" w:eastAsia="zh-CN" w:bidi="ar-SA"/>
                    </w:rPr>
                  </w:pPr>
                  <w:r>
                    <w:rPr>
                      <w:rFonts w:hint="default" w:ascii="Times New Roman" w:hAnsi="Times New Roman" w:eastAsia="宋体" w:cs="Times New Roman"/>
                      <w:snapToGrid w:val="0"/>
                      <w:color w:val="auto"/>
                      <w:kern w:val="0"/>
                      <w:sz w:val="21"/>
                      <w:szCs w:val="21"/>
                      <w:highlight w:val="none"/>
                      <w:lang w:val="en-US" w:eastAsia="zh-CN" w:bidi="ar-SA"/>
                    </w:rPr>
                    <w:t>水泵</w:t>
                  </w:r>
                </w:p>
              </w:tc>
              <w:tc>
                <w:tcPr>
                  <w:tcW w:w="1545" w:type="dxa"/>
                  <w:vAlign w:val="center"/>
                </w:tcPr>
                <w:p>
                  <w:pPr>
                    <w:keepNext w:val="0"/>
                    <w:keepLines w:val="0"/>
                    <w:pageBreakBefore w:val="0"/>
                    <w:kinsoku/>
                    <w:wordWrap/>
                    <w:overflowPunct/>
                    <w:topLinePunct w:val="0"/>
                    <w:autoSpaceDE/>
                    <w:autoSpaceDN/>
                    <w:bidi w:val="0"/>
                    <w:adjustRightInd w:val="0"/>
                    <w:snapToGrid w:val="0"/>
                    <w:spacing w:line="240" w:lineRule="auto"/>
                    <w:ind w:right="0" w:firstLine="0" w:firstLineChars="0"/>
                    <w:jc w:val="center"/>
                    <w:textAlignment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w:t>
                  </w:r>
                </w:p>
              </w:tc>
              <w:tc>
                <w:tcPr>
                  <w:tcW w:w="1277"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75</w:t>
                  </w:r>
                </w:p>
              </w:tc>
              <w:tc>
                <w:tcPr>
                  <w:tcW w:w="1203" w:type="dxa"/>
                  <w:vMerge w:val="continue"/>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p>
              </w:tc>
              <w:tc>
                <w:tcPr>
                  <w:tcW w:w="758"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31</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32.9</w:t>
                  </w:r>
                </w:p>
              </w:tc>
              <w:tc>
                <w:tcPr>
                  <w:tcW w:w="730" w:type="dxa"/>
                  <w:vAlign w:val="center"/>
                </w:tcPr>
                <w:p>
                  <w:pPr>
                    <w:pStyle w:val="20"/>
                    <w:keepNext w:val="0"/>
                    <w:keepLines w:val="0"/>
                    <w:pageBreakBefore w:val="0"/>
                    <w:kinsoku/>
                    <w:wordWrap/>
                    <w:overflowPunct/>
                    <w:topLinePunct w:val="0"/>
                    <w:autoSpaceDE/>
                    <w:autoSpaceDN/>
                    <w:bidi w:val="0"/>
                    <w:adjustRightInd w:val="0"/>
                    <w:snapToGrid w:val="0"/>
                    <w:spacing w:before="0" w:after="0" w:line="240" w:lineRule="auto"/>
                    <w:ind w:right="0" w:firstLine="0" w:firstLineChars="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2</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jc w:val="left"/>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噪声预测模式采用《环境影响评价技术导则声环境》（HJ</w:t>
            </w:r>
            <w:r>
              <w:rPr>
                <w:rFonts w:hint="default" w:ascii="Times New Roman" w:hAnsi="Times New Roman" w:eastAsia="宋体" w:cs="Times New Roman"/>
                <w:color w:val="auto"/>
                <w:sz w:val="24"/>
                <w:highlight w:val="none"/>
                <w:lang w:val="en-US" w:eastAsia="zh-CN"/>
              </w:rPr>
              <w:t xml:space="preserve"> </w:t>
            </w:r>
            <w:r>
              <w:rPr>
                <w:rFonts w:hint="default" w:ascii="Times New Roman" w:hAnsi="Times New Roman" w:eastAsia="宋体" w:cs="Times New Roman"/>
                <w:color w:val="auto"/>
                <w:sz w:val="24"/>
                <w:highlight w:val="none"/>
              </w:rPr>
              <w:t>2.4-2021）中推荐的预测模式：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b/>
                <w:bCs/>
                <w:color w:val="auto"/>
                <w:sz w:val="24"/>
                <w:highlight w:val="none"/>
                <w:lang w:val="en-US" w:eastAsia="zh-CN"/>
              </w:rPr>
              <w:t>（1）户外声传播衰减计算</w:t>
            </w:r>
          </w:p>
          <w:p>
            <w:pPr>
              <w:adjustRightInd w:val="0"/>
              <w:snapToGrid w:val="0"/>
              <w:spacing w:line="360" w:lineRule="auto"/>
              <w:jc w:val="center"/>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position w:val="-14"/>
                <w:sz w:val="24"/>
              </w:rPr>
              <w:object>
                <v:shape id="_x0000_i1032" o:spt="75" type="#_x0000_t75" style="height:22.6pt;width:297pt;" o:ole="t" filled="f" o:preferrelative="t" stroked="f" coordsize="21600,21600">
                  <v:path/>
                  <v:fill on="f" focussize="0,0"/>
                  <v:stroke on="f"/>
                  <v:imagedata r:id="rId25" o:title=""/>
                  <o:lock v:ext="edit" aspectratio="t"/>
                  <w10:wrap type="none"/>
                  <w10:anchorlock/>
                </v:shape>
                <o:OLEObject Type="Embed" ProgID="Equation.KSEE3" ShapeID="_x0000_i1032" DrawAspect="Content" ObjectID="_1468075732" r:id="rId24">
                  <o:LockedField>false</o:LockedField>
                </o:OLEObject>
              </w:object>
            </w:r>
          </w:p>
          <w:p>
            <w:pPr>
              <w:overflowPunct w:val="0"/>
              <w:adjustRightInd w:val="0"/>
              <w:snapToGrid w:val="0"/>
              <w:spacing w:line="360" w:lineRule="auto"/>
              <w:ind w:firstLine="480" w:firstLineChars="2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式中：L</w:t>
            </w:r>
            <w:r>
              <w:rPr>
                <w:rFonts w:hint="default" w:ascii="Times New Roman" w:hAnsi="Times New Roman" w:eastAsia="宋体" w:cs="Times New Roman"/>
                <w:color w:val="auto"/>
                <w:kern w:val="0"/>
                <w:sz w:val="24"/>
                <w:vertAlign w:val="subscript"/>
              </w:rPr>
              <w:t>p</w:t>
            </w:r>
            <w:r>
              <w:rPr>
                <w:rFonts w:hint="default" w:ascii="Times New Roman" w:hAnsi="Times New Roman" w:eastAsia="宋体" w:cs="Times New Roman"/>
                <w:color w:val="auto"/>
                <w:kern w:val="0"/>
                <w:sz w:val="24"/>
              </w:rPr>
              <w:t>(r)——预测点处声压级，dB；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L</w:t>
            </w:r>
            <w:r>
              <w:rPr>
                <w:rFonts w:hint="default" w:ascii="Times New Roman" w:hAnsi="Times New Roman" w:eastAsia="宋体" w:cs="Times New Roman"/>
                <w:color w:val="auto"/>
                <w:kern w:val="0"/>
                <w:sz w:val="24"/>
                <w:vertAlign w:val="subscript"/>
              </w:rPr>
              <w:t>p</w:t>
            </w:r>
            <w:r>
              <w:rPr>
                <w:rFonts w:hint="default" w:ascii="Times New Roman" w:hAnsi="Times New Roman" w:eastAsia="宋体" w:cs="Times New Roman"/>
                <w:color w:val="auto"/>
                <w:kern w:val="0"/>
                <w:sz w:val="24"/>
              </w:rPr>
              <w:t>(r</w:t>
            </w:r>
            <w:r>
              <w:rPr>
                <w:rFonts w:hint="default" w:ascii="Times New Roman" w:hAnsi="Times New Roman" w:eastAsia="宋体" w:cs="Times New Roman"/>
                <w:color w:val="auto"/>
                <w:kern w:val="0"/>
                <w:sz w:val="24"/>
                <w:vertAlign w:val="subscript"/>
              </w:rPr>
              <w:t>0</w:t>
            </w:r>
            <w:r>
              <w:rPr>
                <w:rFonts w:hint="default" w:ascii="Times New Roman" w:hAnsi="Times New Roman" w:eastAsia="宋体" w:cs="Times New Roman"/>
                <w:color w:val="auto"/>
                <w:kern w:val="0"/>
                <w:sz w:val="24"/>
              </w:rPr>
              <w:t>)——参考位置r</w:t>
            </w:r>
            <w:r>
              <w:rPr>
                <w:rFonts w:hint="default" w:ascii="Times New Roman" w:hAnsi="Times New Roman" w:eastAsia="宋体" w:cs="Times New Roman"/>
                <w:color w:val="auto"/>
                <w:kern w:val="0"/>
                <w:sz w:val="24"/>
                <w:vertAlign w:val="subscript"/>
              </w:rPr>
              <w:t>0</w:t>
            </w:r>
            <w:r>
              <w:rPr>
                <w:rFonts w:hint="default" w:ascii="Times New Roman" w:hAnsi="Times New Roman" w:eastAsia="宋体" w:cs="Times New Roman"/>
                <w:color w:val="auto"/>
                <w:kern w:val="0"/>
                <w:sz w:val="24"/>
              </w:rPr>
              <w:t>处的声压级，dB；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D</w:t>
            </w:r>
            <w:r>
              <w:rPr>
                <w:rFonts w:hint="default" w:ascii="Times New Roman" w:hAnsi="Times New Roman" w:eastAsia="宋体" w:cs="Times New Roman"/>
                <w:color w:val="auto"/>
                <w:kern w:val="0"/>
                <w:sz w:val="24"/>
                <w:vertAlign w:val="subscript"/>
              </w:rPr>
              <w:t>C</w:t>
            </w:r>
            <w:r>
              <w:rPr>
                <w:rFonts w:hint="default" w:ascii="Times New Roman" w:hAnsi="Times New Roman" w:eastAsia="宋体" w:cs="Times New Roman"/>
                <w:color w:val="auto"/>
                <w:kern w:val="0"/>
                <w:sz w:val="24"/>
              </w:rPr>
              <w:t>——指向性校正，它描述点声源的等效连续声压级与产生声功率级Lw的全向点声源在规定方向的声级的偏差程度，dB；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div</w:t>
            </w:r>
            <w:r>
              <w:rPr>
                <w:rFonts w:hint="default" w:ascii="Times New Roman" w:hAnsi="Times New Roman" w:eastAsia="宋体" w:cs="Times New Roman"/>
                <w:color w:val="auto"/>
                <w:kern w:val="0"/>
                <w:sz w:val="24"/>
              </w:rPr>
              <w:t>——几何发散引起的衰减，dB；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atm</w:t>
            </w:r>
            <w:r>
              <w:rPr>
                <w:rFonts w:hint="default" w:ascii="Times New Roman" w:hAnsi="Times New Roman" w:eastAsia="宋体" w:cs="Times New Roman"/>
                <w:color w:val="auto"/>
                <w:kern w:val="0"/>
                <w:sz w:val="24"/>
              </w:rPr>
              <w:t>——大气吸收引起的衰减，dB；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gr</w:t>
            </w:r>
            <w:r>
              <w:rPr>
                <w:rFonts w:hint="default" w:ascii="Times New Roman" w:hAnsi="Times New Roman" w:eastAsia="宋体" w:cs="Times New Roman"/>
                <w:color w:val="auto"/>
                <w:kern w:val="0"/>
                <w:sz w:val="24"/>
              </w:rPr>
              <w:t>——地面效应引起的衰减，dB；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bar</w:t>
            </w:r>
            <w:r>
              <w:rPr>
                <w:rFonts w:hint="default" w:ascii="Times New Roman" w:hAnsi="Times New Roman" w:eastAsia="宋体" w:cs="Times New Roman"/>
                <w:color w:val="auto"/>
                <w:kern w:val="0"/>
                <w:sz w:val="24"/>
              </w:rPr>
              <w:t>——障碍物屏蔽引起的衰减，dB；</w:t>
            </w:r>
          </w:p>
          <w:p>
            <w:pPr>
              <w:overflowPunct w:val="0"/>
              <w:adjustRightInd w:val="0"/>
              <w:snapToGrid w:val="0"/>
              <w:spacing w:line="360" w:lineRule="auto"/>
              <w:ind w:firstLine="1200" w:firstLineChars="500"/>
              <w:jc w:val="left"/>
              <w:rPr>
                <w:rFonts w:hint="default" w:ascii="Times New Roman" w:hAnsi="Times New Roman" w:eastAsia="宋体" w:cs="Times New Roman"/>
                <w:b/>
                <w:bCs/>
                <w:color w:val="auto"/>
                <w:sz w:val="24"/>
                <w:highlight w:val="none"/>
                <w:lang w:val="en-US" w:eastAsia="zh-CN"/>
              </w:rPr>
            </w:pPr>
            <w:r>
              <w:rPr>
                <w:rFonts w:hint="default" w:ascii="Times New Roman" w:hAnsi="Times New Roman" w:eastAsia="宋体" w:cs="Times New Roman"/>
                <w:color w:val="auto"/>
                <w:kern w:val="0"/>
                <w:sz w:val="24"/>
              </w:rPr>
              <w:t>A</w:t>
            </w:r>
            <w:r>
              <w:rPr>
                <w:rFonts w:hint="default" w:ascii="Times New Roman" w:hAnsi="Times New Roman" w:eastAsia="宋体" w:cs="Times New Roman"/>
                <w:color w:val="auto"/>
                <w:kern w:val="0"/>
                <w:sz w:val="24"/>
                <w:vertAlign w:val="subscript"/>
              </w:rPr>
              <w:t>misc</w:t>
            </w:r>
            <w:r>
              <w:rPr>
                <w:rFonts w:hint="default" w:ascii="Times New Roman" w:hAnsi="Times New Roman" w:eastAsia="宋体" w:cs="Times New Roman"/>
                <w:color w:val="auto"/>
                <w:kern w:val="0"/>
                <w:sz w:val="24"/>
              </w:rPr>
              <w:t>——其他多方面效应引起的衰减，dB。</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snapToGrid w:val="0"/>
                <w:color w:val="auto"/>
                <w:kern w:val="0"/>
                <w:sz w:val="24"/>
                <w:highlight w:val="none"/>
                <w:lang w:val="en-US" w:eastAsia="zh-CN"/>
              </w:rPr>
            </w:pPr>
            <w:r>
              <w:rPr>
                <w:rFonts w:hint="default"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rPr>
              <w:t>工业企业噪声</w:t>
            </w:r>
            <w:r>
              <w:rPr>
                <w:rFonts w:hint="default" w:ascii="Times New Roman" w:hAnsi="Times New Roman" w:eastAsia="宋体" w:cs="Times New Roman"/>
                <w:b/>
                <w:bCs/>
                <w:color w:val="auto"/>
                <w:sz w:val="24"/>
                <w:highlight w:val="none"/>
                <w:lang w:val="en-US" w:eastAsia="zh-CN"/>
              </w:rPr>
              <w:t>贡献值预测如下：</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设第i个室外声源在预测点产生的A声级为L</w:t>
            </w:r>
            <w:r>
              <w:rPr>
                <w:rFonts w:hint="default" w:ascii="Times New Roman" w:hAnsi="Times New Roman" w:eastAsia="宋体" w:cs="Times New Roman"/>
                <w:snapToGrid w:val="0"/>
                <w:color w:val="auto"/>
                <w:kern w:val="0"/>
                <w:sz w:val="24"/>
                <w:highlight w:val="none"/>
                <w:vertAlign w:val="subscript"/>
              </w:rPr>
              <w:t>Ai</w:t>
            </w:r>
            <w:r>
              <w:rPr>
                <w:rFonts w:hint="default" w:ascii="Times New Roman" w:hAnsi="Times New Roman" w:eastAsia="宋体" w:cs="Times New Roman"/>
                <w:snapToGrid w:val="0"/>
                <w:color w:val="auto"/>
                <w:kern w:val="0"/>
                <w:sz w:val="24"/>
                <w:highlight w:val="none"/>
              </w:rPr>
              <w:t>，在T时间内该声源工作时间为ti；第j个等效室外声源在预测点产生的A声级为L</w:t>
            </w:r>
            <w:r>
              <w:rPr>
                <w:rFonts w:hint="default" w:ascii="Times New Roman" w:hAnsi="Times New Roman" w:eastAsia="宋体" w:cs="Times New Roman"/>
                <w:snapToGrid w:val="0"/>
                <w:color w:val="auto"/>
                <w:kern w:val="0"/>
                <w:sz w:val="24"/>
                <w:highlight w:val="none"/>
                <w:vertAlign w:val="subscript"/>
              </w:rPr>
              <w:t>Aj</w:t>
            </w:r>
            <w:r>
              <w:rPr>
                <w:rFonts w:hint="default" w:ascii="Times New Roman" w:hAnsi="Times New Roman" w:eastAsia="宋体" w:cs="Times New Roman"/>
                <w:snapToGrid w:val="0"/>
                <w:color w:val="auto"/>
                <w:kern w:val="0"/>
                <w:sz w:val="24"/>
                <w:highlight w:val="none"/>
              </w:rPr>
              <w:t>，在T时间内该声源工作时间为</w:t>
            </w:r>
            <w:r>
              <w:rPr>
                <w:rFonts w:hint="default" w:ascii="Times New Roman" w:hAnsi="Times New Roman" w:eastAsia="宋体" w:cs="Times New Roman"/>
                <w:snapToGrid w:val="0"/>
                <w:color w:val="auto"/>
                <w:kern w:val="0"/>
                <w:sz w:val="24"/>
                <w:highlight w:val="none"/>
                <w:lang w:val="en-US" w:eastAsia="zh-CN"/>
              </w:rPr>
              <w:t>t</w:t>
            </w:r>
            <w:r>
              <w:rPr>
                <w:rFonts w:hint="default" w:ascii="Times New Roman" w:hAnsi="Times New Roman" w:eastAsia="宋体" w:cs="Times New Roman"/>
                <w:snapToGrid w:val="0"/>
                <w:color w:val="auto"/>
                <w:kern w:val="0"/>
                <w:sz w:val="24"/>
                <w:highlight w:val="none"/>
                <w:vertAlign w:val="subscript"/>
                <w:lang w:val="en-US" w:eastAsia="zh-CN"/>
              </w:rPr>
              <w:t>j</w:t>
            </w:r>
            <w:r>
              <w:rPr>
                <w:rFonts w:hint="default" w:ascii="Times New Roman" w:hAnsi="Times New Roman" w:eastAsia="宋体" w:cs="Times New Roman"/>
                <w:snapToGrid w:val="0"/>
                <w:color w:val="auto"/>
                <w:kern w:val="0"/>
                <w:sz w:val="24"/>
                <w:highlight w:val="none"/>
              </w:rPr>
              <w:t>，则拟建工程声源对预测点产生的贡献值（L</w:t>
            </w:r>
            <w:r>
              <w:rPr>
                <w:rFonts w:hint="default" w:ascii="Times New Roman" w:hAnsi="Times New Roman" w:eastAsia="宋体" w:cs="Times New Roman"/>
                <w:snapToGrid w:val="0"/>
                <w:color w:val="auto"/>
                <w:kern w:val="0"/>
                <w:sz w:val="24"/>
                <w:highlight w:val="none"/>
                <w:vertAlign w:val="subscript"/>
              </w:rPr>
              <w:t>eqg</w:t>
            </w:r>
            <w:r>
              <w:rPr>
                <w:rFonts w:hint="default" w:ascii="Times New Roman" w:hAnsi="Times New Roman" w:eastAsia="宋体" w:cs="Times New Roman"/>
                <w:snapToGrid w:val="0"/>
                <w:color w:val="auto"/>
                <w:kern w:val="0"/>
                <w:sz w:val="24"/>
                <w:highlight w:val="none"/>
              </w:rPr>
              <w:t>）为：</w:t>
            </w:r>
          </w:p>
          <w:p>
            <w:pPr>
              <w:widowControl/>
              <w:tabs>
                <w:tab w:val="left" w:pos="342"/>
                <w:tab w:val="left" w:pos="3320"/>
              </w:tabs>
              <w:adjustRightInd w:val="0"/>
              <w:snapToGrid w:val="0"/>
              <w:spacing w:line="360" w:lineRule="auto"/>
              <w:jc w:val="center"/>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color w:val="auto"/>
                <w:position w:val="-30"/>
                <w:sz w:val="24"/>
                <w:highlight w:val="none"/>
              </w:rPr>
              <w:object>
                <v:shape id="_x0000_i1033" o:spt="75" type="#_x0000_t75" style="height:37.5pt;width:218.55pt;" o:ole="t" filled="f" o:preferrelative="t" stroked="f" coordsize="21600,21600">
                  <v:path/>
                  <v:fill on="f" focussize="0,0"/>
                  <v:stroke on="f"/>
                  <v:imagedata r:id="rId27" o:title=""/>
                  <o:lock v:ext="edit" aspectratio="t"/>
                  <w10:wrap type="none"/>
                  <w10:anchorlock/>
                </v:shape>
                <o:OLEObject Type="Embed" ProgID="Equation.KSEE3" ShapeID="_x0000_i1033" DrawAspect="Content" ObjectID="_1468075733" r:id="rId26">
                  <o:LockedField>false</o:LockedField>
                </o:OLEObject>
              </w:objec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式中：L</w:t>
            </w:r>
            <w:r>
              <w:rPr>
                <w:rFonts w:hint="default" w:ascii="Times New Roman" w:hAnsi="Times New Roman" w:eastAsia="宋体" w:cs="Times New Roman"/>
                <w:snapToGrid w:val="0"/>
                <w:color w:val="auto"/>
                <w:kern w:val="0"/>
                <w:sz w:val="24"/>
                <w:highlight w:val="none"/>
                <w:vertAlign w:val="subscript"/>
              </w:rPr>
              <w:t>eqg</w:t>
            </w:r>
            <w:r>
              <w:rPr>
                <w:rFonts w:hint="default" w:ascii="Times New Roman" w:hAnsi="Times New Roman" w:eastAsia="宋体" w:cs="Times New Roman"/>
                <w:snapToGrid w:val="0"/>
                <w:color w:val="auto"/>
                <w:kern w:val="0"/>
                <w:sz w:val="24"/>
                <w:highlight w:val="none"/>
              </w:rPr>
              <w:t>——建设项目声源在预测点产生的噪声贡献值，dB；</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T——用于计算等效声级的时间，s；</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N——室外声源个数；</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w:t>
            </w:r>
            <w:r>
              <w:rPr>
                <w:rFonts w:hint="default" w:ascii="Times New Roman" w:hAnsi="Times New Roman" w:eastAsia="宋体" w:cs="Times New Roman"/>
                <w:snapToGrid w:val="0"/>
                <w:color w:val="auto"/>
                <w:kern w:val="0"/>
                <w:sz w:val="24"/>
                <w:highlight w:val="none"/>
                <w:vertAlign w:val="subscript"/>
              </w:rPr>
              <w:t>i</w:t>
            </w:r>
            <w:r>
              <w:rPr>
                <w:rFonts w:hint="default" w:ascii="Times New Roman" w:hAnsi="Times New Roman" w:eastAsia="宋体" w:cs="Times New Roman"/>
                <w:snapToGrid w:val="0"/>
                <w:color w:val="auto"/>
                <w:kern w:val="0"/>
                <w:sz w:val="24"/>
                <w:highlight w:val="none"/>
              </w:rPr>
              <w:t>——在T时间内i声源工作时间，s；</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M——等效室外声源个数；</w:t>
            </w:r>
          </w:p>
          <w:p>
            <w:pPr>
              <w:keepNext w:val="0"/>
              <w:keepLines w:val="0"/>
              <w:pageBreakBefore w:val="0"/>
              <w:widowControl/>
              <w:tabs>
                <w:tab w:val="left" w:pos="3320"/>
              </w:tabs>
              <w:kinsoku/>
              <w:wordWrap/>
              <w:overflowPunct/>
              <w:topLinePunct w:val="0"/>
              <w:autoSpaceDE/>
              <w:autoSpaceDN/>
              <w:bidi w:val="0"/>
              <w:adjustRightInd w:val="0"/>
              <w:snapToGrid w:val="0"/>
              <w:spacing w:line="360" w:lineRule="auto"/>
              <w:ind w:firstLine="1200" w:firstLineChars="500"/>
              <w:textAlignment w:val="auto"/>
              <w:rPr>
                <w:rFonts w:hint="default" w:ascii="Times New Roman" w:hAnsi="Times New Roman" w:eastAsia="宋体" w:cs="Times New Roman"/>
                <w:snapToGrid w:val="0"/>
                <w:color w:val="auto"/>
                <w:kern w:val="0"/>
                <w:sz w:val="24"/>
                <w:highlight w:val="none"/>
              </w:rPr>
            </w:pPr>
            <w:r>
              <w:rPr>
                <w:rFonts w:hint="default" w:ascii="Times New Roman" w:hAnsi="Times New Roman" w:eastAsia="宋体" w:cs="Times New Roman"/>
                <w:snapToGrid w:val="0"/>
                <w:color w:val="auto"/>
                <w:kern w:val="0"/>
                <w:sz w:val="24"/>
                <w:highlight w:val="none"/>
              </w:rPr>
              <w:t>t</w:t>
            </w:r>
            <w:r>
              <w:rPr>
                <w:rFonts w:hint="default" w:ascii="Times New Roman" w:hAnsi="Times New Roman" w:eastAsia="宋体" w:cs="Times New Roman"/>
                <w:snapToGrid w:val="0"/>
                <w:color w:val="auto"/>
                <w:kern w:val="0"/>
                <w:sz w:val="24"/>
                <w:highlight w:val="none"/>
                <w:vertAlign w:val="subscript"/>
              </w:rPr>
              <w:t>j</w:t>
            </w:r>
            <w:r>
              <w:rPr>
                <w:rFonts w:hint="default" w:ascii="Times New Roman" w:hAnsi="Times New Roman" w:eastAsia="宋体" w:cs="Times New Roman"/>
                <w:snapToGrid w:val="0"/>
                <w:color w:val="auto"/>
                <w:kern w:val="0"/>
                <w:sz w:val="24"/>
                <w:highlight w:val="none"/>
              </w:rPr>
              <w:t>——在T时间内j声源工作时间，s。</w:t>
            </w:r>
          </w:p>
          <w:p>
            <w:pPr>
              <w:pStyle w:val="46"/>
              <w:adjustRightInd w:val="0"/>
              <w:snapToGrid w:val="0"/>
              <w:ind w:firstLine="480"/>
              <w:jc w:val="both"/>
              <w:rPr>
                <w:rFonts w:hint="default" w:ascii="Times New Roman" w:hAnsi="Times New Roman" w:eastAsia="宋体" w:cs="Times New Roman"/>
                <w:snapToGrid w:val="0"/>
                <w:color w:val="auto"/>
                <w:szCs w:val="24"/>
                <w:highlight w:val="none"/>
              </w:rPr>
            </w:pPr>
            <w:r>
              <w:rPr>
                <w:rFonts w:hint="default" w:ascii="Times New Roman" w:hAnsi="Times New Roman" w:eastAsia="宋体" w:cs="Times New Roman"/>
                <w:snapToGrid w:val="0"/>
                <w:color w:val="auto"/>
                <w:szCs w:val="24"/>
                <w:highlight w:val="none"/>
              </w:rPr>
              <w:t>噪声影响预测结果见表4-</w:t>
            </w:r>
            <w:r>
              <w:rPr>
                <w:rFonts w:hint="default" w:ascii="Times New Roman" w:hAnsi="Times New Roman" w:eastAsia="宋体" w:cs="Times New Roman"/>
                <w:snapToGrid w:val="0"/>
                <w:color w:val="auto"/>
                <w:szCs w:val="24"/>
                <w:highlight w:val="none"/>
                <w:lang w:val="en-US" w:eastAsia="zh-CN"/>
              </w:rPr>
              <w:t>8</w:t>
            </w:r>
            <w:r>
              <w:rPr>
                <w:rFonts w:hint="default" w:ascii="Times New Roman" w:hAnsi="Times New Roman" w:eastAsia="宋体" w:cs="Times New Roman"/>
                <w:snapToGrid w:val="0"/>
                <w:color w:val="auto"/>
                <w:szCs w:val="24"/>
                <w:highlight w:val="none"/>
              </w:rPr>
              <w:t>。</w:t>
            </w:r>
          </w:p>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 xml:space="preserve">8 </w:t>
            </w:r>
            <w:r>
              <w:rPr>
                <w:rFonts w:hint="default" w:ascii="Times New Roman" w:hAnsi="Times New Roman" w:eastAsia="宋体" w:cs="Times New Roman"/>
                <w:b/>
                <w:bCs/>
                <w:color w:val="auto"/>
                <w:sz w:val="21"/>
                <w:szCs w:val="21"/>
                <w:highlight w:val="none"/>
              </w:rPr>
              <w:t xml:space="preserve">   </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 xml:space="preserve">   噪声预测结果一览表</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bCs/>
                <w:color w:val="auto"/>
                <w:sz w:val="21"/>
                <w:szCs w:val="21"/>
                <w:highlight w:val="none"/>
              </w:rPr>
              <w:t xml:space="preserve">     单位：dB(A)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054"/>
              <w:gridCol w:w="1280"/>
              <w:gridCol w:w="1280"/>
              <w:gridCol w:w="1041"/>
              <w:gridCol w:w="1041"/>
              <w:gridCol w:w="13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vMerge w:val="restar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评价点</w:t>
                  </w:r>
                </w:p>
              </w:tc>
              <w:tc>
                <w:tcPr>
                  <w:tcW w:w="1598" w:type="pct"/>
                  <w:gridSpan w:val="2"/>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贡献值</w:t>
                  </w:r>
                </w:p>
              </w:tc>
              <w:tc>
                <w:tcPr>
                  <w:tcW w:w="1299" w:type="pct"/>
                  <w:gridSpan w:val="2"/>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标准值</w:t>
                  </w:r>
                </w:p>
              </w:tc>
              <w:tc>
                <w:tcPr>
                  <w:tcW w:w="819" w:type="pct"/>
                  <w:vMerge w:val="restar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vMerge w:val="continue"/>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昼间</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夜间</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昼间</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r>
                    <w:rPr>
                      <w:rFonts w:hint="default" w:ascii="Times New Roman" w:hAnsi="Times New Roman" w:eastAsia="宋体" w:cs="Times New Roman"/>
                      <w:b/>
                      <w:bCs/>
                      <w:color w:val="auto"/>
                      <w:szCs w:val="21"/>
                      <w:highlight w:val="none"/>
                      <w:lang w:val="en-US" w:eastAsia="zh-CN"/>
                    </w:rPr>
                    <w:t>夜间</w:t>
                  </w:r>
                </w:p>
              </w:tc>
              <w:tc>
                <w:tcPr>
                  <w:tcW w:w="819" w:type="pct"/>
                  <w:vMerge w:val="continue"/>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b/>
                      <w:bCs/>
                      <w:color w:val="auto"/>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北</w:t>
                  </w:r>
                  <w:r>
                    <w:rPr>
                      <w:rFonts w:hint="default" w:ascii="Times New Roman" w:hAnsi="Times New Roman" w:eastAsia="宋体" w:cs="Times New Roman"/>
                      <w:color w:val="auto"/>
                      <w:szCs w:val="21"/>
                      <w:highlight w:val="none"/>
                      <w:lang w:val="en-US" w:eastAsia="zh-CN"/>
                    </w:rPr>
                    <w:t>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40.09</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40.09</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南厂界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44.02</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44.02</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82"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西厂界</w:t>
                  </w:r>
                </w:p>
              </w:tc>
              <w:tc>
                <w:tcPr>
                  <w:tcW w:w="79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46.03</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46.03</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282" w:type="pct"/>
                  <w:noWrap/>
                  <w:vAlign w:val="center"/>
                </w:tcPr>
                <w:p>
                  <w:pPr>
                    <w:pStyle w:val="31"/>
                    <w:tabs>
                      <w:tab w:val="left" w:pos="432"/>
                      <w:tab w:val="left" w:pos="567"/>
                    </w:tabs>
                    <w:spacing w:beforeLines="0" w:afterLines="0" w:line="240" w:lineRule="auto"/>
                    <w:ind w:firstLine="0"/>
                    <w:jc w:val="center"/>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东</w:t>
                  </w:r>
                  <w:r>
                    <w:rPr>
                      <w:rFonts w:hint="default" w:ascii="Times New Roman" w:hAnsi="Times New Roman" w:eastAsia="宋体" w:cs="Times New Roman"/>
                      <w:color w:val="auto"/>
                      <w:szCs w:val="21"/>
                      <w:highlight w:val="none"/>
                      <w:lang w:val="en-US" w:eastAsia="zh-CN"/>
                    </w:rPr>
                    <w:t>厂界</w:t>
                  </w:r>
                </w:p>
              </w:tc>
              <w:tc>
                <w:tcPr>
                  <w:tcW w:w="79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39.82</w:t>
                  </w:r>
                </w:p>
              </w:tc>
              <w:tc>
                <w:tcPr>
                  <w:tcW w:w="1280" w:type="dxa"/>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eastAsia" w:ascii="Times New Roman" w:cs="Times New Roman"/>
                      <w:color w:val="auto"/>
                      <w:szCs w:val="21"/>
                      <w:highlight w:val="none"/>
                      <w:lang w:val="en-US" w:eastAsia="zh-CN"/>
                    </w:rPr>
                    <w:t>39.82</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60</w:t>
                  </w:r>
                </w:p>
              </w:tc>
              <w:tc>
                <w:tcPr>
                  <w:tcW w:w="649" w:type="pct"/>
                  <w:noWrap/>
                  <w:vAlign w:val="center"/>
                </w:tcPr>
                <w:p>
                  <w:pPr>
                    <w:pStyle w:val="31"/>
                    <w:tabs>
                      <w:tab w:val="left" w:pos="432"/>
                      <w:tab w:val="left" w:pos="567"/>
                    </w:tabs>
                    <w:spacing w:beforeLines="0" w:afterLines="0" w:line="240" w:lineRule="auto"/>
                    <w:ind w:firstLine="0" w:firstLineChars="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50</w:t>
                  </w:r>
                </w:p>
              </w:tc>
              <w:tc>
                <w:tcPr>
                  <w:tcW w:w="819" w:type="pct"/>
                  <w:noWrap/>
                  <w:vAlign w:val="center"/>
                </w:tcPr>
                <w:p>
                  <w:pPr>
                    <w:pStyle w:val="31"/>
                    <w:tabs>
                      <w:tab w:val="left" w:pos="432"/>
                      <w:tab w:val="left" w:pos="567"/>
                    </w:tabs>
                    <w:spacing w:beforeLines="0" w:afterLines="0" w:line="240" w:lineRule="auto"/>
                    <w:ind w:firstLine="0"/>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达标</w:t>
                  </w:r>
                </w:p>
              </w:tc>
            </w:tr>
          </w:tbl>
          <w:p>
            <w:pPr>
              <w:pStyle w:val="46"/>
              <w:keepNext w:val="0"/>
              <w:keepLines w:val="0"/>
              <w:pageBreakBefore w:val="0"/>
              <w:widowControl w:val="0"/>
              <w:kinsoku/>
              <w:wordWrap/>
              <w:overflowPunct/>
              <w:topLinePunct w:val="0"/>
              <w:autoSpaceDE/>
              <w:autoSpaceDN/>
              <w:bidi w:val="0"/>
              <w:adjustRightInd w:val="0"/>
              <w:snapToGrid w:val="0"/>
              <w:spacing w:before="157" w:beforeLines="50"/>
              <w:ind w:firstLine="480"/>
              <w:jc w:val="both"/>
              <w:textAlignment w:val="auto"/>
              <w:rPr>
                <w:rFonts w:hint="eastAsia" w:ascii="Times New Roman" w:hAnsi="Times New Roman" w:eastAsia="宋体" w:cs="Times New Roman"/>
                <w:snapToGrid w:val="0"/>
                <w:color w:val="auto"/>
                <w:szCs w:val="24"/>
                <w:highlight w:val="none"/>
                <w:lang w:eastAsia="zh-CN"/>
              </w:rPr>
            </w:pPr>
            <w:r>
              <w:rPr>
                <w:rFonts w:hint="default" w:ascii="Times New Roman" w:hAnsi="Times New Roman" w:eastAsia="宋体" w:cs="Times New Roman"/>
                <w:snapToGrid w:val="0"/>
                <w:color w:val="auto"/>
                <w:szCs w:val="24"/>
                <w:highlight w:val="none"/>
              </w:rPr>
              <w:t>由表4-</w:t>
            </w:r>
            <w:r>
              <w:rPr>
                <w:rFonts w:hint="default" w:ascii="Times New Roman" w:hAnsi="Times New Roman" w:eastAsia="宋体" w:cs="Times New Roman"/>
                <w:snapToGrid w:val="0"/>
                <w:color w:val="auto"/>
                <w:szCs w:val="24"/>
                <w:highlight w:val="none"/>
                <w:lang w:val="en-US" w:eastAsia="zh-CN"/>
              </w:rPr>
              <w:t>8、图4-1可知，</w:t>
            </w:r>
            <w:r>
              <w:rPr>
                <w:rFonts w:hint="default" w:ascii="Times New Roman" w:hAnsi="Times New Roman" w:eastAsia="宋体" w:cs="Times New Roman"/>
                <w:snapToGrid w:val="0"/>
                <w:color w:val="auto"/>
                <w:szCs w:val="24"/>
                <w:highlight w:val="none"/>
              </w:rPr>
              <w:t>厂界昼</w:t>
            </w:r>
            <w:r>
              <w:rPr>
                <w:rFonts w:hint="default" w:ascii="Times New Roman" w:hAnsi="Times New Roman" w:eastAsia="宋体" w:cs="Times New Roman"/>
                <w:snapToGrid w:val="0"/>
                <w:color w:val="auto"/>
                <w:szCs w:val="24"/>
                <w:highlight w:val="none"/>
                <w:lang w:val="en-US" w:eastAsia="zh-CN"/>
              </w:rPr>
              <w:t>夜</w:t>
            </w:r>
            <w:r>
              <w:rPr>
                <w:rFonts w:hint="default" w:ascii="Times New Roman" w:hAnsi="Times New Roman" w:eastAsia="宋体" w:cs="Times New Roman"/>
                <w:snapToGrid w:val="0"/>
                <w:color w:val="auto"/>
                <w:szCs w:val="24"/>
                <w:highlight w:val="none"/>
              </w:rPr>
              <w:t>间噪声预测值均满足《工业企业厂界环境噪声排放标准》（GB</w:t>
            </w:r>
            <w:r>
              <w:rPr>
                <w:rFonts w:hint="default" w:ascii="Times New Roman" w:hAnsi="Times New Roman" w:eastAsia="宋体" w:cs="Times New Roman"/>
                <w:snapToGrid w:val="0"/>
                <w:color w:val="auto"/>
                <w:szCs w:val="24"/>
                <w:highlight w:val="none"/>
                <w:lang w:val="en-US" w:eastAsia="zh-CN"/>
              </w:rPr>
              <w:t xml:space="preserve"> </w:t>
            </w:r>
            <w:r>
              <w:rPr>
                <w:rFonts w:hint="default" w:ascii="Times New Roman" w:hAnsi="Times New Roman" w:eastAsia="宋体" w:cs="Times New Roman"/>
                <w:snapToGrid w:val="0"/>
                <w:color w:val="auto"/>
                <w:szCs w:val="24"/>
                <w:highlight w:val="none"/>
              </w:rPr>
              <w:t>12348-2008）中的</w:t>
            </w:r>
            <w:r>
              <w:rPr>
                <w:rFonts w:hint="default" w:ascii="Times New Roman" w:hAnsi="Times New Roman" w:eastAsia="宋体" w:cs="Times New Roman"/>
                <w:snapToGrid w:val="0"/>
                <w:color w:val="auto"/>
                <w:szCs w:val="24"/>
                <w:highlight w:val="none"/>
                <w:lang w:val="en-US" w:eastAsia="zh-CN"/>
              </w:rPr>
              <w:t>2</w:t>
            </w:r>
            <w:r>
              <w:rPr>
                <w:rFonts w:hint="default" w:ascii="Times New Roman" w:hAnsi="Times New Roman" w:eastAsia="宋体" w:cs="Times New Roman"/>
                <w:snapToGrid w:val="0"/>
                <w:color w:val="auto"/>
                <w:szCs w:val="24"/>
                <w:highlight w:val="none"/>
              </w:rPr>
              <w:t>类标准要求</w:t>
            </w:r>
            <w:r>
              <w:rPr>
                <w:rFonts w:hint="eastAsia" w:ascii="Times New Roman" w:hAnsi="Times New Roman" w:eastAsia="宋体" w:cs="Times New Roman"/>
                <w:snapToGrid w:val="0"/>
                <w:color w:val="auto"/>
                <w:szCs w:val="24"/>
                <w:highlight w:val="none"/>
                <w:lang w:eastAsia="zh-CN"/>
              </w:rPr>
              <w:t>。</w:t>
            </w:r>
          </w:p>
          <w:p>
            <w:pPr>
              <w:keepNext w:val="0"/>
              <w:keepLines w:val="0"/>
              <w:pageBreakBefore w:val="0"/>
              <w:widowControl w:val="0"/>
              <w:tabs>
                <w:tab w:val="left" w:pos="7350"/>
              </w:tabs>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sz w:val="24"/>
                <w:highlight w:val="none"/>
              </w:rPr>
            </w:pPr>
            <w:r>
              <w:rPr>
                <w:rFonts w:hint="default" w:ascii="Times New Roman" w:hAnsi="Times New Roman" w:eastAsia="宋体" w:cs="Times New Roman"/>
                <w:b/>
                <w:bCs/>
                <w:color w:val="auto"/>
                <w:sz w:val="24"/>
                <w:highlight w:val="none"/>
                <w:lang w:val="en-US" w:eastAsia="zh-CN"/>
              </w:rPr>
              <w:t>2、</w:t>
            </w:r>
            <w:r>
              <w:rPr>
                <w:rFonts w:hint="default" w:ascii="Times New Roman" w:hAnsi="Times New Roman" w:eastAsia="宋体" w:cs="Times New Roman"/>
                <w:b/>
                <w:bCs/>
                <w:color w:val="auto"/>
                <w:sz w:val="24"/>
                <w:highlight w:val="none"/>
              </w:rPr>
              <w:t>运营期监测计划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本项目建成投用后，噪声例行监测工作按照《排污许可证申请与核发技术规范 工业噪声》（HJ1301-2023）要求开展自行监测，并纳入建设单位现有厂区已有的自行监测计划中。</w:t>
            </w:r>
            <w:r>
              <w:rPr>
                <w:rFonts w:hint="default" w:ascii="Times New Roman" w:hAnsi="Times New Roman" w:eastAsia="宋体" w:cs="Times New Roman"/>
                <w:color w:val="auto"/>
                <w:sz w:val="24"/>
                <w:szCs w:val="24"/>
                <w:highlight w:val="none"/>
              </w:rPr>
              <w:t>本项目营运期噪声监测计划见表4-</w:t>
            </w:r>
            <w:r>
              <w:rPr>
                <w:rFonts w:hint="default" w:ascii="Times New Roman" w:hAnsi="Times New Roman" w:eastAsia="宋体" w:cs="Times New Roman"/>
                <w:color w:val="auto"/>
                <w:sz w:val="24"/>
                <w:szCs w:val="24"/>
                <w:highlight w:val="none"/>
                <w:lang w:val="en-US" w:eastAsia="zh-CN"/>
              </w:rPr>
              <w:t>9</w:t>
            </w:r>
            <w:r>
              <w:rPr>
                <w:rFonts w:hint="default" w:ascii="Times New Roman" w:hAnsi="Times New Roman" w:eastAsia="宋体" w:cs="Times New Roman"/>
                <w:color w:val="auto"/>
                <w:sz w:val="24"/>
                <w:szCs w:val="24"/>
                <w:highlight w:val="none"/>
              </w:rPr>
              <w:t>。</w:t>
            </w:r>
          </w:p>
          <w:p>
            <w:pPr>
              <w:adjustRightInd w:val="0"/>
              <w:snapToGrid w:val="0"/>
              <w:ind w:right="105" w:rightChars="5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 xml:space="preserve">9 </w:t>
            </w:r>
            <w:r>
              <w:rPr>
                <w:rFonts w:hint="default" w:ascii="Times New Roman" w:hAnsi="Times New Roman" w:eastAsia="宋体" w:cs="Times New Roman"/>
                <w:b/>
                <w:bCs/>
                <w:color w:val="auto"/>
                <w:sz w:val="21"/>
                <w:szCs w:val="21"/>
                <w:highlight w:val="none"/>
              </w:rPr>
              <w:t xml:space="preserve"> 本项目运营期噪声环境监测计划一览表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440"/>
              <w:gridCol w:w="1141"/>
              <w:gridCol w:w="1158"/>
              <w:gridCol w:w="3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因素</w:t>
                  </w:r>
                </w:p>
              </w:tc>
              <w:tc>
                <w:tcPr>
                  <w:tcW w:w="1540"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监测位置</w:t>
                  </w:r>
                </w:p>
              </w:tc>
              <w:tc>
                <w:tcPr>
                  <w:tcW w:w="1217"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监测指标</w:t>
                  </w:r>
                </w:p>
              </w:tc>
              <w:tc>
                <w:tcPr>
                  <w:tcW w:w="1234"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监测频次</w:t>
                  </w:r>
                </w:p>
              </w:tc>
              <w:tc>
                <w:tcPr>
                  <w:tcW w:w="3804" w:type="dxa"/>
                  <w:noWrap w:val="0"/>
                  <w:vAlign w:val="center"/>
                </w:tcPr>
                <w:p>
                  <w:pPr>
                    <w:adjustRightInd w:val="0"/>
                    <w:snapToGrid w:val="0"/>
                    <w:jc w:val="center"/>
                    <w:rPr>
                      <w:rFonts w:hint="default" w:ascii="Times New Roman" w:hAnsi="Times New Roman" w:eastAsia="宋体" w:cs="Times New Roman"/>
                      <w:b/>
                      <w:bCs/>
                      <w:color w:val="auto"/>
                      <w:szCs w:val="21"/>
                      <w:highlight w:val="none"/>
                    </w:rPr>
                  </w:pPr>
                  <w:r>
                    <w:rPr>
                      <w:rFonts w:hint="default" w:ascii="Times New Roman" w:hAnsi="Times New Roman" w:eastAsia="宋体" w:cs="Times New Roman"/>
                      <w:b/>
                      <w:bCs/>
                      <w:color w:val="auto"/>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噪声</w:t>
                  </w:r>
                </w:p>
              </w:tc>
              <w:tc>
                <w:tcPr>
                  <w:tcW w:w="1540"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厂界四周围墙外1m处</w:t>
                  </w:r>
                </w:p>
              </w:tc>
              <w:tc>
                <w:tcPr>
                  <w:tcW w:w="1217"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LAeq</w:t>
                  </w:r>
                </w:p>
              </w:tc>
              <w:tc>
                <w:tcPr>
                  <w:tcW w:w="1234"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1次/季度，</w:t>
                  </w:r>
                </w:p>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昼夜监测</w:t>
                  </w:r>
                </w:p>
              </w:tc>
              <w:tc>
                <w:tcPr>
                  <w:tcW w:w="3804" w:type="dxa"/>
                  <w:noWrap w:val="0"/>
                  <w:vAlign w:val="center"/>
                </w:tcPr>
                <w:p>
                  <w:pPr>
                    <w:adjustRightInd w:val="0"/>
                    <w:snapToGrid w:val="0"/>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snapToGrid w:val="0"/>
                      <w:color w:val="auto"/>
                      <w:kern w:val="0"/>
                      <w:szCs w:val="21"/>
                      <w:highlight w:val="none"/>
                    </w:rPr>
                    <w:t>《工业企业厂界环境噪声排放标准》（GB</w:t>
                  </w:r>
                  <w:r>
                    <w:rPr>
                      <w:rFonts w:hint="default" w:ascii="Times New Roman" w:hAnsi="Times New Roman" w:eastAsia="宋体" w:cs="Times New Roman"/>
                      <w:snapToGrid w:val="0"/>
                      <w:color w:val="auto"/>
                      <w:kern w:val="0"/>
                      <w:szCs w:val="21"/>
                      <w:highlight w:val="none"/>
                      <w:lang w:val="en-US" w:eastAsia="zh-CN"/>
                    </w:rPr>
                    <w:t xml:space="preserve"> </w:t>
                  </w:r>
                  <w:r>
                    <w:rPr>
                      <w:rFonts w:hint="default" w:ascii="Times New Roman" w:hAnsi="Times New Roman" w:eastAsia="宋体" w:cs="Times New Roman"/>
                      <w:snapToGrid w:val="0"/>
                      <w:color w:val="auto"/>
                      <w:kern w:val="0"/>
                      <w:szCs w:val="21"/>
                      <w:highlight w:val="none"/>
                    </w:rPr>
                    <w:t>12348-2008）</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firstLine="482" w:firstLineChars="200"/>
              <w:jc w:val="left"/>
              <w:textAlignment w:val="auto"/>
              <w:outlineLvl w:val="1"/>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固体废物</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kern w:val="2"/>
                <w:sz w:val="24"/>
                <w:szCs w:val="24"/>
                <w:lang w:val="en-US" w:eastAsia="zh-CN" w:bidi="ar-SA"/>
              </w:rPr>
              <w:t>1、</w:t>
            </w:r>
            <w:r>
              <w:rPr>
                <w:rFonts w:hint="default" w:ascii="Times New Roman" w:hAnsi="Times New Roman" w:eastAsia="宋体" w:cs="Times New Roman"/>
                <w:b/>
                <w:bCs/>
                <w:color w:val="auto"/>
                <w:sz w:val="24"/>
                <w:szCs w:val="24"/>
                <w:lang w:val="en-US" w:eastAsia="zh-CN"/>
              </w:rPr>
              <w:t>项目固体废物产生及排放情况</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本项目固体废物主要有：除尘装置收集的粉尘、废石料、拌和残渣、废机油及员工生活垃圾。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kern w:val="0"/>
                <w:sz w:val="24"/>
                <w:szCs w:val="24"/>
                <w:lang w:val="en-US" w:eastAsia="zh-CN" w:bidi="ar"/>
              </w:rPr>
              <w:t>（1）</w:t>
            </w:r>
            <w:r>
              <w:rPr>
                <w:rFonts w:hint="eastAsia" w:cs="Times New Roman"/>
                <w:color w:val="auto"/>
                <w:kern w:val="0"/>
                <w:sz w:val="24"/>
                <w:szCs w:val="24"/>
                <w:lang w:val="en-US" w:eastAsia="zh-CN" w:bidi="ar"/>
              </w:rPr>
              <w:t>脉冲袋式除尘机</w:t>
            </w:r>
            <w:r>
              <w:rPr>
                <w:rFonts w:hint="default" w:ascii="Times New Roman" w:hAnsi="Times New Roman" w:eastAsia="宋体" w:cs="Times New Roman"/>
                <w:color w:val="auto"/>
                <w:kern w:val="0"/>
                <w:sz w:val="24"/>
                <w:szCs w:val="24"/>
                <w:lang w:val="en-US" w:eastAsia="zh-CN" w:bidi="ar"/>
              </w:rPr>
              <w:t>、布袋除尘机收集的粉尘S1、S2：除尘机收集到的除尘灰全部回用于生产，收集量为34.514t/a。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（2）废石料S3：废石料产生量与供应商供应的石料质量有关，根据建设单位提供资料，不合格石料占石料总量的0.1%，约为67.98t。废石料暂存于</w:t>
            </w:r>
            <w:r>
              <w:rPr>
                <w:rFonts w:hint="eastAsia" w:cs="Times New Roman"/>
                <w:color w:val="auto"/>
                <w:kern w:val="0"/>
                <w:sz w:val="24"/>
                <w:szCs w:val="24"/>
                <w:lang w:val="en-US" w:eastAsia="zh-CN" w:bidi="ar"/>
              </w:rPr>
              <w:t>原料仓</w:t>
            </w:r>
            <w:r>
              <w:rPr>
                <w:rFonts w:hint="default" w:ascii="Times New Roman" w:hAnsi="Times New Roman" w:eastAsia="宋体" w:cs="Times New Roman"/>
                <w:color w:val="auto"/>
                <w:kern w:val="0"/>
                <w:sz w:val="24"/>
                <w:szCs w:val="24"/>
                <w:lang w:val="en-US" w:eastAsia="zh-CN" w:bidi="ar"/>
              </w:rPr>
              <w:t>，由生产厂家回收。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（3）拌和残渣S4：混凝土成品出料装车时由于接口密闭不严或工作人员操作不当会滴漏拌合残渣，每年产生量约为0.5t，由建设单位收集后回用于生产。</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t>
            </w:r>
            <w:r>
              <w:rPr>
                <w:rFonts w:hint="eastAsia"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）生活垃圾S</w:t>
            </w:r>
            <w:r>
              <w:rPr>
                <w:rFonts w:hint="eastAsia"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：员工生活垃圾产生量按1.0kg/人·d计，项目职工10人，生活垃圾产生量约0.9t/a。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本项目固体废物产生及排放汇总情况见表4-10。</w:t>
            </w:r>
          </w:p>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Times New Roman" w:hAnsi="Times New Roman" w:eastAsia="宋体" w:cs="Times New Roman"/>
                <w:b/>
                <w:bCs/>
                <w:color w:val="auto"/>
                <w:vertAlign w:val="baseline"/>
                <w:lang w:val="en-US" w:eastAsia="zh-CN"/>
              </w:rPr>
            </w:pPr>
            <w:r>
              <w:rPr>
                <w:rFonts w:hint="default" w:ascii="Times New Roman" w:hAnsi="Times New Roman" w:eastAsia="宋体" w:cs="Times New Roman"/>
                <w:b/>
                <w:bCs/>
                <w:color w:val="auto"/>
                <w:lang w:val="en-US" w:eastAsia="zh-CN"/>
              </w:rPr>
              <w:t>表4-10  固体废物产生及排放情况一览表</w:t>
            </w:r>
          </w:p>
          <w:tbl>
            <w:tblPr>
              <w:tblStyle w:val="23"/>
              <w:tblW w:w="793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68"/>
              <w:gridCol w:w="1270"/>
              <w:gridCol w:w="973"/>
              <w:gridCol w:w="865"/>
              <w:gridCol w:w="1203"/>
              <w:gridCol w:w="17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名称</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产生环节</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属性</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物理性状</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产生量（t/a）</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贮存方式</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除尘灰（颗粒物）</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除尘装置收集粉尘</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34.514</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布袋除尘器</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废石料</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石料配比筛选</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val="en-US" w:eastAsia="zh-CN"/>
                    </w:rPr>
                    <w:t>67.98</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原料仓</w:t>
                  </w:r>
                  <w:r>
                    <w:rPr>
                      <w:rFonts w:hint="default" w:ascii="Times New Roman" w:hAnsi="Times New Roman" w:eastAsia="宋体" w:cs="Times New Roman"/>
                      <w:b w:val="0"/>
                      <w:bCs w:val="0"/>
                      <w:color w:val="auto"/>
                      <w:sz w:val="21"/>
                      <w:szCs w:val="21"/>
                      <w:vertAlign w:val="baseline"/>
                      <w:lang w:val="en-US" w:eastAsia="zh-CN"/>
                    </w:rPr>
                    <w:t>暂存</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生产厂家回收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拌合残渣</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搅拌系统</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一般固废</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半固态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0.5</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水泥筒仓</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firstLine="0"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生活垃圾</w:t>
                  </w:r>
                </w:p>
              </w:tc>
              <w:tc>
                <w:tcPr>
                  <w:tcW w:w="1068"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办公</w:t>
                  </w:r>
                </w:p>
              </w:tc>
              <w:tc>
                <w:tcPr>
                  <w:tcW w:w="1270"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生活垃圾</w:t>
                  </w:r>
                </w:p>
              </w:tc>
              <w:tc>
                <w:tcPr>
                  <w:tcW w:w="97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固态</w:t>
                  </w:r>
                </w:p>
              </w:tc>
              <w:tc>
                <w:tcPr>
                  <w:tcW w:w="8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0.9</w:t>
                  </w:r>
                </w:p>
              </w:tc>
              <w:tc>
                <w:tcPr>
                  <w:tcW w:w="1203"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b w:val="0"/>
                      <w:bCs w:val="0"/>
                      <w:color w:val="auto"/>
                      <w:sz w:val="21"/>
                      <w:szCs w:val="21"/>
                      <w:vertAlign w:val="baseline"/>
                      <w:lang w:val="en-US" w:eastAsia="zh-CN"/>
                    </w:rPr>
                    <w:t>垃圾桶</w:t>
                  </w:r>
                </w:p>
              </w:tc>
              <w:tc>
                <w:tcPr>
                  <w:tcW w:w="1765" w:type="dxa"/>
                  <w:vAlign w:val="center"/>
                </w:tcPr>
                <w:p>
                  <w:pPr>
                    <w:pStyle w:val="20"/>
                    <w:keepNext w:val="0"/>
                    <w:keepLines w:val="0"/>
                    <w:pageBreakBefore w:val="0"/>
                    <w:widowControl/>
                    <w:kinsoku/>
                    <w:wordWrap/>
                    <w:overflowPunct/>
                    <w:topLinePunct w:val="0"/>
                    <w:autoSpaceDE/>
                    <w:autoSpaceDN/>
                    <w:bidi w:val="0"/>
                    <w:adjustRightInd w:val="0"/>
                    <w:snapToGrid w:val="0"/>
                    <w:spacing w:before="0" w:after="0" w:line="240" w:lineRule="auto"/>
                    <w:ind w:right="0" w:rightChars="0" w:firstLine="0" w:firstLineChars="0"/>
                    <w:jc w:val="center"/>
                    <w:textAlignment w:val="auto"/>
                    <w:rPr>
                      <w:rFonts w:hint="default" w:ascii="Times New Roman" w:hAnsi="Times New Roman" w:eastAsia="宋体" w:cs="Times New Roman"/>
                      <w:b w:val="0"/>
                      <w:bCs w:val="0"/>
                      <w:color w:val="auto"/>
                      <w:kern w:val="0"/>
                      <w:sz w:val="21"/>
                      <w:szCs w:val="21"/>
                      <w:vertAlign w:val="baseline"/>
                      <w:lang w:val="en-US" w:eastAsia="zh-CN" w:bidi="ar-SA"/>
                    </w:rPr>
                  </w:pPr>
                  <w:r>
                    <w:rPr>
                      <w:rFonts w:hint="default" w:ascii="Times New Roman" w:hAnsi="Times New Roman" w:eastAsia="宋体" w:cs="Times New Roman"/>
                      <w:color w:val="auto"/>
                      <w:kern w:val="0"/>
                      <w:sz w:val="21"/>
                      <w:szCs w:val="21"/>
                      <w:highlight w:val="none"/>
                      <w:lang w:val="en-US" w:eastAsia="zh-CN"/>
                    </w:rPr>
                    <w:t>垃圾桶收集后运至附近的垃圾转运点</w:t>
                  </w:r>
                </w:p>
              </w:tc>
            </w:tr>
          </w:tbl>
          <w:p>
            <w:pPr>
              <w:keepNext w:val="0"/>
              <w:keepLines w:val="0"/>
              <w:pageBreakBefore w:val="0"/>
              <w:widowControl w:val="0"/>
              <w:numPr>
                <w:ilvl w:val="0"/>
                <w:numId w:val="8"/>
              </w:numPr>
              <w:kinsoku/>
              <w:wordWrap/>
              <w:overflowPunct/>
              <w:topLinePunct w:val="0"/>
              <w:autoSpaceDE/>
              <w:autoSpaceDN/>
              <w:bidi w:val="0"/>
              <w:adjustRightInd w:val="0"/>
              <w:snapToGrid w:val="0"/>
              <w:spacing w:before="157" w:beforeLines="50" w:line="360" w:lineRule="auto"/>
              <w:ind w:left="0" w:leftChars="0" w:firstLine="482" w:firstLineChars="200"/>
              <w:jc w:val="left"/>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地下水、土壤</w:t>
            </w:r>
          </w:p>
          <w:p>
            <w:pPr>
              <w:pStyle w:val="16"/>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1、地下水和土壤环境影响分析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本项目可能对地下水、土壤环境产生影响的类型主要为排放到大气中的粉尘、生产或运输过程中散落的物料进入土壤并通过土壤下渗至地下水，对厂区及周边地下水和土壤环境造成影响，其影响途径主要如下：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（1）大气沉降：粉尘通过大气沉降降落到地表，污染厂区及周边土壤环境，其影响主要集中在土壤表层，且项目粉尘和散落的物料主要成分为水洗砂、水泥、粉煤灰及石料等，不含有重金属和有毒有害物质；</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（2）地面漫流：项目生产或物料运输过程中散落的物料，因降雨等造成地面漫流，污染厂区及周边土壤和地下水环境。但项目粉尘排放量较少，散落的物料能够及时清扫，基本不会通过土壤下渗至地下水环境。</w:t>
            </w:r>
          </w:p>
          <w:p>
            <w:pPr>
              <w:pStyle w:val="16"/>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lang w:val="en-US"/>
              </w:rPr>
            </w:pPr>
            <w:r>
              <w:rPr>
                <w:rFonts w:hint="default" w:ascii="Times New Roman" w:hAnsi="Times New Roman" w:eastAsia="宋体" w:cs="Times New Roman"/>
                <w:b/>
                <w:bCs/>
                <w:color w:val="auto"/>
                <w:kern w:val="0"/>
                <w:sz w:val="24"/>
                <w:szCs w:val="24"/>
                <w:lang w:val="en-US" w:eastAsia="zh-CN" w:bidi="ar"/>
              </w:rPr>
              <w:t>2、污染防治措施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为减少项目对地下水和土壤环境的污染，主要采取以下防治措施：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（1）项目物料装卸、储存、投料、输送、搅拌生产均采取密闭或遮挡措施，各产尘点均采取除尘或降尘措施，减少粉尘排放；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（2）厂区周围种植具有较强吸附能力的绿化植物；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（3）项目生产区、储存区及厂区道路采用碎石铺设，旱厕及沉淀池等防渗处理，运营过程中，做好设备的维护、检修，杜绝跑、冒、滴、漏现象；</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（4）物料运输过程中合理选择运输路线，定期清扫、洒水抑尘。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综上分析，通过采取以上防治措施，项目对厂区及周边地下水和土壤环境影响较小。</w:t>
            </w:r>
          </w:p>
          <w:p>
            <w:pPr>
              <w:keepNext w:val="0"/>
              <w:keepLines w:val="0"/>
              <w:pageBreakBefore w:val="0"/>
              <w:numPr>
                <w:ilvl w:val="0"/>
                <w:numId w:val="8"/>
              </w:numPr>
              <w:kinsoku/>
              <w:wordWrap/>
              <w:overflowPunct/>
              <w:topLinePunct w:val="0"/>
              <w:autoSpaceDE/>
              <w:autoSpaceDN/>
              <w:bidi w:val="0"/>
              <w:adjustRightInd w:val="0"/>
              <w:snapToGrid w:val="0"/>
              <w:spacing w:line="360" w:lineRule="auto"/>
              <w:ind w:left="0" w:leftChars="0" w:firstLine="482" w:firstLineChars="200"/>
              <w:jc w:val="left"/>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bCs/>
                <w:color w:val="auto"/>
                <w:sz w:val="24"/>
                <w:szCs w:val="24"/>
                <w:lang w:val="en-US" w:eastAsia="zh-CN"/>
              </w:rPr>
              <w:t>环境风险</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1、环境风险影响分析</w:t>
            </w:r>
          </w:p>
          <w:p>
            <w:pPr>
              <w:keepNext w:val="0"/>
              <w:keepLines w:val="0"/>
              <w:pageBreakBefore w:val="0"/>
              <w:numPr>
                <w:ilvl w:val="0"/>
                <w:numId w:val="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本项目为混凝土制造业，不涉及有毒有害和易燃易爆等危险物质和风险源的分布情况，无危险化学品生产工艺，正常运行情况下基本不会产生环境风险物质。主要存在的环境风险事故如下：</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厂区因安全风险防控措施落实不到位或石料粉尘浓度达到限值，</w:t>
            </w:r>
            <w:r>
              <w:rPr>
                <w:rFonts w:hint="default" w:ascii="Times New Roman" w:hAnsi="Times New Roman" w:eastAsia="宋体" w:cs="Times New Roman"/>
                <w:color w:val="auto"/>
                <w:kern w:val="0"/>
                <w:sz w:val="24"/>
                <w:szCs w:val="24"/>
                <w:lang w:val="zh-CN" w:bidi="zh-CN"/>
              </w:rPr>
              <w:t>可能会引发火灾、爆炸等安全事故。火灾、爆炸产生的</w:t>
            </w:r>
            <w:r>
              <w:rPr>
                <w:rFonts w:hint="default" w:ascii="Times New Roman" w:hAnsi="Times New Roman" w:eastAsia="宋体" w:cs="Times New Roman"/>
                <w:color w:val="auto"/>
                <w:kern w:val="0"/>
                <w:sz w:val="24"/>
                <w:szCs w:val="24"/>
                <w:lang w:val="en-US" w:bidi="zh-CN"/>
              </w:rPr>
              <w:t>CO、CO</w:t>
            </w:r>
            <w:r>
              <w:rPr>
                <w:rFonts w:hint="default" w:ascii="Times New Roman" w:hAnsi="Times New Roman" w:eastAsia="宋体" w:cs="Times New Roman"/>
                <w:color w:val="auto"/>
                <w:kern w:val="0"/>
                <w:sz w:val="24"/>
                <w:szCs w:val="24"/>
                <w:vertAlign w:val="subscript"/>
                <w:lang w:val="en-US" w:bidi="zh-CN"/>
              </w:rPr>
              <w:t>2</w:t>
            </w:r>
            <w:r>
              <w:rPr>
                <w:rFonts w:hint="default" w:ascii="Times New Roman" w:hAnsi="Times New Roman" w:eastAsia="宋体" w:cs="Times New Roman"/>
                <w:color w:val="auto"/>
                <w:kern w:val="0"/>
                <w:sz w:val="24"/>
                <w:szCs w:val="24"/>
                <w:vertAlign w:val="baseline"/>
                <w:lang w:val="zh-CN" w:bidi="zh-CN"/>
              </w:rPr>
              <w:t>及其他</w:t>
            </w:r>
            <w:r>
              <w:rPr>
                <w:rFonts w:hint="default" w:ascii="Times New Roman" w:hAnsi="Times New Roman" w:eastAsia="宋体" w:cs="Times New Roman"/>
                <w:color w:val="auto"/>
                <w:kern w:val="0"/>
                <w:sz w:val="24"/>
                <w:szCs w:val="24"/>
                <w:lang w:val="zh-CN" w:bidi="zh-CN"/>
              </w:rPr>
              <w:t>污染物会影响周边大气环境，但是由于持续时间较短，也不会对大气环境造成较大的环境污染；</w:t>
            </w:r>
          </w:p>
          <w:p>
            <w:pPr>
              <w:keepNext w:val="0"/>
              <w:keepLines w:val="0"/>
              <w:pageBreakBefore w:val="0"/>
              <w:numPr>
                <w:ilvl w:val="0"/>
                <w:numId w:val="10"/>
              </w:numPr>
              <w:kinsoku/>
              <w:wordWrap/>
              <w:overflowPunct/>
              <w:topLinePunct w:val="0"/>
              <w:autoSpaceDE w:val="0"/>
              <w:autoSpaceDN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粉尘防治措施发生风险故障而产生的粉尘排放事故；</w:t>
            </w:r>
          </w:p>
          <w:p>
            <w:pPr>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bidi="ar"/>
              </w:rPr>
              <w:t>本项目不涉及处理可燃性粉尘的环保处理设施，但</w:t>
            </w:r>
            <w:r>
              <w:rPr>
                <w:rFonts w:hint="default" w:ascii="Times New Roman" w:hAnsi="Times New Roman" w:eastAsia="宋体" w:cs="Times New Roman"/>
                <w:color w:val="auto"/>
                <w:kern w:val="0"/>
                <w:sz w:val="24"/>
                <w:szCs w:val="24"/>
                <w:lang w:val="en-US" w:eastAsia="zh-CN"/>
              </w:rPr>
              <w:t>冬季静电较大天气干燥时，石料</w:t>
            </w:r>
            <w:r>
              <w:rPr>
                <w:rFonts w:hint="default" w:ascii="Times New Roman" w:hAnsi="Times New Roman" w:eastAsia="宋体" w:cs="Times New Roman"/>
                <w:color w:val="auto"/>
                <w:kern w:val="0"/>
                <w:sz w:val="24"/>
                <w:szCs w:val="24"/>
                <w:lang w:val="en-US" w:eastAsia="zh-CN" w:bidi="ar"/>
              </w:rPr>
              <w:t>粉尘与氧化剂（主要是空气）形成的混合物被点燃，仍有粉尘爆炸、粉尘二次爆炸的风险，</w:t>
            </w:r>
            <w:r>
              <w:rPr>
                <w:rFonts w:hint="default" w:ascii="Times New Roman" w:hAnsi="Times New Roman" w:eastAsia="宋体" w:cs="Times New Roman"/>
                <w:color w:val="auto"/>
                <w:kern w:val="0"/>
                <w:sz w:val="24"/>
                <w:szCs w:val="24"/>
                <w:lang w:val="en-US" w:eastAsia="zh-CN"/>
              </w:rPr>
              <w:t>会对周围人身安全造成危害，对周边大气环境造成一定污染；</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kern w:val="0"/>
                <w:sz w:val="24"/>
                <w:szCs w:val="24"/>
                <w:lang w:val="en-US" w:eastAsia="zh-CN" w:bidi="ar-SA"/>
              </w:rPr>
              <w:t>2、</w:t>
            </w:r>
            <w:r>
              <w:rPr>
                <w:rFonts w:hint="default" w:ascii="Times New Roman" w:hAnsi="Times New Roman" w:eastAsia="宋体" w:cs="Times New Roman"/>
                <w:b/>
                <w:bCs/>
                <w:color w:val="auto"/>
                <w:sz w:val="24"/>
                <w:szCs w:val="24"/>
                <w:lang w:val="en-US" w:eastAsia="zh-CN"/>
              </w:rPr>
              <w:t>环境风险防范措施</w:t>
            </w:r>
          </w:p>
          <w:p>
            <w:pPr>
              <w:pStyle w:val="16"/>
              <w:keepNext w:val="0"/>
              <w:keepLines w:val="0"/>
              <w:pageBreakBefore w:val="0"/>
              <w:numPr>
                <w:ilvl w:val="0"/>
                <w:numId w:val="0"/>
              </w:numPr>
              <w:kinsoku/>
              <w:wordWrap/>
              <w:overflowPunct/>
              <w:topLinePunct w:val="0"/>
              <w:bidi w:val="0"/>
              <w:adjustRightInd w:val="0"/>
              <w:snapToGrid w:val="0"/>
              <w:spacing w:line="360" w:lineRule="auto"/>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针对上述环境风险影响分析，本项目提出以下环境风险防范措施：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b w:val="0"/>
                <w:bCs/>
                <w:color w:val="auto"/>
                <w:kern w:val="0"/>
                <w:sz w:val="24"/>
                <w:szCs w:val="24"/>
                <w:lang w:val="en-US" w:eastAsia="zh-CN" w:bidi="ar"/>
              </w:rPr>
              <w:t>严格遵守建设项目环保和安全“三同时”要求，加强环保设施的运行管理。建设单位不得私自停用环保设施，应对环保设施、生产设备定期进行检查，使各环保设施处于完备有效的状态，以保证处理效率和污染物达标排放；</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b w:val="0"/>
                <w:bCs/>
                <w:color w:val="auto"/>
                <w:kern w:val="0"/>
                <w:sz w:val="24"/>
                <w:szCs w:val="24"/>
                <w:lang w:val="en-US" w:eastAsia="zh-CN" w:bidi="ar"/>
              </w:rPr>
            </w:pPr>
            <w:r>
              <w:rPr>
                <w:rFonts w:hint="default" w:ascii="Times New Roman" w:hAnsi="Times New Roman" w:eastAsia="宋体" w:cs="Times New Roman"/>
                <w:b w:val="0"/>
                <w:bCs/>
                <w:color w:val="auto"/>
                <w:kern w:val="0"/>
                <w:sz w:val="24"/>
                <w:szCs w:val="24"/>
                <w:lang w:val="en-US" w:eastAsia="zh-CN" w:bidi="ar"/>
              </w:rPr>
              <w:t>（2）当巡检人员发现废气处理设施故障时，应立即通知操作员，操作员及时分析原因并操作调整，下令停止生产。立即检查废气处理设施故障原因。及时更换失效的设备；</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i w:val="0"/>
                <w:iCs w:val="0"/>
                <w:caps w:val="0"/>
                <w:color w:val="auto"/>
                <w:spacing w:val="0"/>
                <w:sz w:val="24"/>
                <w:szCs w:val="24"/>
                <w:shd w:val="clear" w:fill="FFFFFF"/>
                <w:lang w:eastAsia="zh-CN"/>
              </w:rPr>
            </w:pP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lang w:val="en-US" w:eastAsia="zh-CN"/>
              </w:rPr>
              <w:t>3</w:t>
            </w:r>
            <w:r>
              <w:rPr>
                <w:rFonts w:hint="default" w:ascii="Times New Roman" w:hAnsi="Times New Roman" w:eastAsia="宋体" w:cs="Times New Roman"/>
                <w:i w:val="0"/>
                <w:iCs w:val="0"/>
                <w:caps w:val="0"/>
                <w:color w:val="auto"/>
                <w:spacing w:val="0"/>
                <w:sz w:val="24"/>
                <w:szCs w:val="24"/>
                <w:shd w:val="clear" w:fill="FFFFFF"/>
                <w:lang w:eastAsia="zh-CN"/>
              </w:rPr>
              <w:t>）</w:t>
            </w:r>
            <w:r>
              <w:rPr>
                <w:rFonts w:hint="default" w:ascii="Times New Roman" w:hAnsi="Times New Roman" w:eastAsia="宋体" w:cs="Times New Roman"/>
                <w:i w:val="0"/>
                <w:iCs w:val="0"/>
                <w:caps w:val="0"/>
                <w:color w:val="auto"/>
                <w:spacing w:val="0"/>
                <w:sz w:val="24"/>
                <w:szCs w:val="24"/>
                <w:shd w:val="clear" w:fill="FFFFFF"/>
              </w:rPr>
              <w:t>根据</w:t>
            </w:r>
            <w:r>
              <w:rPr>
                <w:rFonts w:hint="default" w:ascii="Times New Roman" w:hAnsi="Times New Roman" w:eastAsia="宋体" w:cs="Times New Roman"/>
                <w:i w:val="0"/>
                <w:iCs w:val="0"/>
                <w:caps w:val="0"/>
                <w:color w:val="auto"/>
                <w:spacing w:val="0"/>
                <w:sz w:val="24"/>
                <w:szCs w:val="24"/>
                <w:shd w:val="clear" w:fill="FFFFFF"/>
                <w:lang w:val="en-US" w:eastAsia="zh-CN"/>
              </w:rPr>
              <w:t>《粉尘防爆安全规程》（GB15577-2018）</w:t>
            </w:r>
            <w:r>
              <w:rPr>
                <w:rFonts w:hint="default" w:ascii="Times New Roman" w:hAnsi="Times New Roman" w:eastAsia="宋体" w:cs="Times New Roman"/>
                <w:i w:val="0"/>
                <w:iCs w:val="0"/>
                <w:caps w:val="0"/>
                <w:color w:val="auto"/>
                <w:spacing w:val="0"/>
                <w:sz w:val="24"/>
                <w:szCs w:val="24"/>
                <w:shd w:val="clear" w:fill="FFFFFF"/>
              </w:rPr>
              <w:t>并结合</w:t>
            </w:r>
            <w:r>
              <w:rPr>
                <w:rFonts w:hint="default" w:ascii="Times New Roman" w:hAnsi="Times New Roman" w:eastAsia="宋体" w:cs="Times New Roman"/>
                <w:i w:val="0"/>
                <w:iCs w:val="0"/>
                <w:caps w:val="0"/>
                <w:color w:val="auto"/>
                <w:spacing w:val="0"/>
                <w:sz w:val="24"/>
                <w:szCs w:val="24"/>
                <w:shd w:val="clear" w:fill="FFFFFF"/>
                <w:lang w:val="en-US" w:eastAsia="zh-CN"/>
              </w:rPr>
              <w:t>项目</w:t>
            </w:r>
            <w:r>
              <w:rPr>
                <w:rFonts w:hint="default" w:ascii="Times New Roman" w:hAnsi="Times New Roman" w:eastAsia="宋体" w:cs="Times New Roman"/>
                <w:i w:val="0"/>
                <w:iCs w:val="0"/>
                <w:caps w:val="0"/>
                <w:color w:val="auto"/>
                <w:spacing w:val="0"/>
                <w:sz w:val="24"/>
                <w:szCs w:val="24"/>
                <w:shd w:val="clear" w:fill="FFFFFF"/>
              </w:rPr>
              <w:t>工艺、设备、粉尘爆炸特性、爆炸防护措施及安全管理制度等制定粉尘防爆安全检查表，并定期开展粉尘防爆安全检查。企业应每季度至少检查一次</w:t>
            </w:r>
            <w:r>
              <w:rPr>
                <w:rFonts w:hint="default" w:ascii="Times New Roman" w:hAnsi="Times New Roman" w:eastAsia="宋体" w:cs="Times New Roman"/>
                <w:i w:val="0"/>
                <w:iCs w:val="0"/>
                <w:caps w:val="0"/>
                <w:color w:val="auto"/>
                <w:spacing w:val="0"/>
                <w:sz w:val="24"/>
                <w:szCs w:val="24"/>
                <w:shd w:val="clear" w:fill="FFFFFF"/>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480" w:firstLineChars="200"/>
              <w:textAlignment w:val="auto"/>
              <w:rPr>
                <w:rFonts w:hint="default" w:ascii="Times New Roman" w:hAnsi="Times New Roman" w:eastAsia="宋体" w:cs="Times New Roman"/>
                <w:i w:val="0"/>
                <w:iCs w:val="0"/>
                <w:caps w:val="0"/>
                <w:color w:val="auto"/>
                <w:spacing w:val="0"/>
                <w:sz w:val="24"/>
                <w:szCs w:val="24"/>
                <w:shd w:val="clear" w:fill="FFFFFF"/>
                <w:lang w:val="en-US" w:eastAsia="zh-CN"/>
              </w:rPr>
            </w:pPr>
            <w:r>
              <w:rPr>
                <w:rFonts w:hint="default" w:ascii="Times New Roman" w:hAnsi="Times New Roman" w:eastAsia="宋体" w:cs="Times New Roman"/>
                <w:i w:val="0"/>
                <w:iCs w:val="0"/>
                <w:caps w:val="0"/>
                <w:color w:val="auto"/>
                <w:spacing w:val="0"/>
                <w:sz w:val="24"/>
                <w:szCs w:val="24"/>
                <w:shd w:val="clear" w:fill="FFFFFF"/>
                <w:lang w:val="en-US" w:eastAsia="zh-CN"/>
              </w:rPr>
              <w:t>（4）粉尘爆炸危险场所设备和装置</w:t>
            </w:r>
            <w:r>
              <w:rPr>
                <w:rFonts w:hint="eastAsia" w:ascii="Times New Roman" w:hAnsi="Times New Roman" w:eastAsia="宋体" w:cs="Times New Roman"/>
                <w:i w:val="0"/>
                <w:iCs w:val="0"/>
                <w:caps w:val="0"/>
                <w:color w:val="auto"/>
                <w:spacing w:val="0"/>
                <w:sz w:val="24"/>
                <w:szCs w:val="24"/>
                <w:shd w:val="clear" w:fill="FFFFFF"/>
                <w:lang w:val="en-US" w:eastAsia="zh-CN"/>
              </w:rPr>
              <w:t>禁止明火，并配备消防设施。</w:t>
            </w:r>
          </w:p>
          <w:p>
            <w:pPr>
              <w:keepNext w:val="0"/>
              <w:keepLines w:val="0"/>
              <w:pageBreakBefore w:val="0"/>
              <w:widowControl/>
              <w:suppressLineNumbers w:val="0"/>
              <w:kinsoku/>
              <w:wordWrap/>
              <w:overflowPunct/>
              <w:topLinePunct w:val="0"/>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本项目运行时存在的风险因素较少，事故发生的可能性小，在做好工作人员日常防范意识培训，做好监督管理工作，并制定完备、有效的安全防范措施的前提下，环境风险可防可控。</w:t>
            </w:r>
          </w:p>
          <w:p>
            <w:pPr>
              <w:pStyle w:val="21"/>
              <w:keepNext w:val="0"/>
              <w:keepLines w:val="0"/>
              <w:pageBreakBefore w:val="0"/>
              <w:widowControl w:val="0"/>
              <w:numPr>
                <w:ilvl w:val="0"/>
                <w:numId w:val="8"/>
              </w:numPr>
              <w:kinsoku/>
              <w:wordWrap/>
              <w:overflowPunct/>
              <w:topLinePunct w:val="0"/>
              <w:autoSpaceDE/>
              <w:autoSpaceDN/>
              <w:bidi w:val="0"/>
              <w:adjustRightInd w:val="0"/>
              <w:snapToGrid w:val="0"/>
              <w:spacing w:after="0" w:line="360" w:lineRule="auto"/>
              <w:ind w:left="0" w:leftChars="0" w:firstLine="482" w:firstLineChars="200"/>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生态环境</w:t>
            </w:r>
          </w:p>
          <w:p>
            <w:pPr>
              <w:pStyle w:val="16"/>
              <w:keepNext w:val="0"/>
              <w:keepLines w:val="0"/>
              <w:pageBreakBefore w:val="0"/>
              <w:numPr>
                <w:ilvl w:val="0"/>
                <w:numId w:val="0"/>
              </w:numPr>
              <w:kinsoku/>
              <w:wordWrap/>
              <w:overflowPunct/>
              <w:topLinePunct w:val="0"/>
              <w:bidi w:val="0"/>
              <w:adjustRightInd w:val="0"/>
              <w:snapToGrid w:val="0"/>
              <w:spacing w:line="360" w:lineRule="auto"/>
              <w:ind w:left="0" w:leftChars="0" w:firstLine="482" w:firstLineChars="200"/>
              <w:textAlignment w:val="auto"/>
              <w:rPr>
                <w:rFonts w:hint="default" w:ascii="Times New Roman" w:hAnsi="Times New Roman" w:eastAsia="宋体" w:cs="Times New Roman"/>
                <w:b/>
                <w:bCs/>
                <w:color w:val="auto"/>
                <w:kern w:val="0"/>
                <w:sz w:val="24"/>
                <w:szCs w:val="24"/>
                <w:lang w:val="en-US" w:eastAsia="zh-CN" w:bidi="ar-SA"/>
              </w:rPr>
            </w:pPr>
            <w:r>
              <w:rPr>
                <w:rFonts w:hint="default" w:ascii="Times New Roman" w:hAnsi="Times New Roman" w:eastAsia="宋体" w:cs="Times New Roman"/>
                <w:b/>
                <w:bCs/>
                <w:color w:val="auto"/>
                <w:kern w:val="0"/>
                <w:sz w:val="24"/>
                <w:szCs w:val="24"/>
                <w:lang w:val="en-US" w:eastAsia="zh-CN" w:bidi="ar-SA"/>
              </w:rPr>
              <w:t>1、生态环境影响分析</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本项目为</w:t>
            </w:r>
            <w:r>
              <w:rPr>
                <w:rFonts w:hint="eastAsia" w:cs="Times New Roman"/>
                <w:bCs/>
                <w:snapToGrid w:val="0"/>
                <w:color w:val="auto"/>
                <w:kern w:val="0"/>
                <w:sz w:val="24"/>
                <w:szCs w:val="24"/>
                <w:lang w:val="en-US" w:eastAsia="zh-CN"/>
              </w:rPr>
              <w:t>沙坡头灌区七星渠灌域续建配套与现代化改造工程1标段</w:t>
            </w:r>
            <w:r>
              <w:rPr>
                <w:rFonts w:hint="default" w:ascii="Times New Roman" w:hAnsi="Times New Roman" w:eastAsia="宋体" w:cs="Times New Roman"/>
                <w:bCs/>
                <w:snapToGrid w:val="0"/>
                <w:color w:val="auto"/>
                <w:kern w:val="0"/>
                <w:sz w:val="24"/>
                <w:szCs w:val="24"/>
                <w:lang w:val="en-US" w:eastAsia="zh-CN"/>
              </w:rPr>
              <w:t>—</w:t>
            </w:r>
            <w:r>
              <w:rPr>
                <w:rFonts w:hint="eastAsia" w:cs="Times New Roman"/>
                <w:bCs/>
                <w:snapToGrid w:val="0"/>
                <w:color w:val="auto"/>
                <w:kern w:val="0"/>
                <w:sz w:val="24"/>
                <w:szCs w:val="24"/>
                <w:lang w:val="en-US" w:eastAsia="zh-CN"/>
              </w:rPr>
              <w:t>宁夏水利水电工程局有限公司</w:t>
            </w:r>
            <w:r>
              <w:rPr>
                <w:rFonts w:hint="default" w:ascii="Times New Roman" w:hAnsi="Times New Roman" w:eastAsia="宋体" w:cs="Times New Roman"/>
                <w:bCs/>
                <w:snapToGrid w:val="0"/>
                <w:color w:val="auto"/>
                <w:kern w:val="0"/>
                <w:sz w:val="24"/>
                <w:szCs w:val="24"/>
                <w:lang w:val="en-US" w:eastAsia="zh-CN"/>
              </w:rPr>
              <w:t>临时搅拌站项目</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rPr>
              <w:t>为</w:t>
            </w:r>
            <w:r>
              <w:rPr>
                <w:rFonts w:hint="eastAsia" w:cs="Times New Roman"/>
                <w:bCs/>
                <w:snapToGrid w:val="0"/>
                <w:color w:val="auto"/>
                <w:kern w:val="0"/>
                <w:sz w:val="24"/>
                <w:szCs w:val="24"/>
                <w:lang w:val="en-US" w:eastAsia="zh-CN"/>
              </w:rPr>
              <w:t>沙坡头灌区七星渠灌域续建配套与现代化改造工程1标段</w:t>
            </w:r>
            <w:r>
              <w:rPr>
                <w:rFonts w:hint="default" w:ascii="Times New Roman" w:hAnsi="Times New Roman" w:eastAsia="宋体" w:cs="Times New Roman"/>
                <w:color w:val="auto"/>
                <w:sz w:val="24"/>
                <w:szCs w:val="24"/>
              </w:rPr>
              <w:t>提供</w:t>
            </w:r>
            <w:r>
              <w:rPr>
                <w:rFonts w:hint="default" w:ascii="Times New Roman" w:hAnsi="Times New Roman" w:eastAsia="宋体" w:cs="Times New Roman"/>
                <w:color w:val="auto"/>
                <w:sz w:val="24"/>
                <w:szCs w:val="24"/>
                <w:lang w:val="en-US" w:eastAsia="zh-CN"/>
              </w:rPr>
              <w:t>建筑材料混凝土</w:t>
            </w:r>
            <w:r>
              <w:rPr>
                <w:rFonts w:hint="default" w:ascii="Times New Roman" w:hAnsi="Times New Roman" w:eastAsia="宋体" w:cs="Times New Roman"/>
                <w:color w:val="auto"/>
                <w:sz w:val="24"/>
                <w:szCs w:val="24"/>
              </w:rPr>
              <w:t>。项目用地为临时用地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厂区周边不涉及法定生态保护区域、重要生境以及其他具有生态功能、对保护生物多样性具有重要意义的区域</w:t>
            </w:r>
            <w:r>
              <w:rPr>
                <w:rFonts w:hint="default" w:ascii="Times New Roman" w:hAnsi="Times New Roman" w:eastAsia="宋体" w:cs="Times New Roman"/>
                <w:color w:val="auto"/>
                <w:sz w:val="24"/>
                <w:szCs w:val="24"/>
              </w:rPr>
              <w:t>；项目区周围无集中式饮用水</w:t>
            </w:r>
            <w:r>
              <w:rPr>
                <w:rFonts w:hint="default" w:ascii="Times New Roman" w:hAnsi="Times New Roman" w:eastAsia="宋体" w:cs="Times New Roman"/>
                <w:color w:val="auto"/>
                <w:sz w:val="24"/>
              </w:rPr>
              <w:t>水源（包括</w:t>
            </w:r>
            <w:r>
              <w:rPr>
                <w:rFonts w:hint="default" w:ascii="Times New Roman" w:hAnsi="Times New Roman" w:eastAsia="宋体" w:cs="Times New Roman"/>
                <w:color w:val="auto"/>
                <w:sz w:val="24"/>
                <w:lang w:eastAsia="zh-CN"/>
              </w:rPr>
              <w:t>已建成</w:t>
            </w:r>
            <w:r>
              <w:rPr>
                <w:rFonts w:hint="default" w:ascii="Times New Roman" w:hAnsi="Times New Roman" w:eastAsia="宋体" w:cs="Times New Roman"/>
                <w:color w:val="auto"/>
                <w:sz w:val="24"/>
              </w:rPr>
              <w:t>的在用、备用、应急水源地，在建和规划的水源地）准保护区，</w:t>
            </w:r>
            <w:r>
              <w:rPr>
                <w:rFonts w:hint="default" w:ascii="Times New Roman" w:hAnsi="Times New Roman" w:eastAsia="宋体" w:cs="Times New Roman"/>
                <w:color w:val="auto"/>
                <w:sz w:val="24"/>
                <w:lang w:eastAsia="zh-CN"/>
              </w:rPr>
              <w:t>且项目物料</w:t>
            </w:r>
            <w:r>
              <w:rPr>
                <w:rFonts w:hint="default" w:ascii="Times New Roman" w:hAnsi="Times New Roman" w:eastAsia="宋体" w:cs="Times New Roman"/>
                <w:color w:val="auto"/>
                <w:sz w:val="24"/>
                <w:lang w:val="en-US" w:eastAsia="zh-CN"/>
              </w:rPr>
              <w:t>及混凝土产品</w:t>
            </w:r>
            <w:r>
              <w:rPr>
                <w:rFonts w:hint="default" w:ascii="Times New Roman" w:hAnsi="Times New Roman" w:eastAsia="宋体" w:cs="Times New Roman"/>
                <w:color w:val="auto"/>
                <w:sz w:val="24"/>
                <w:lang w:eastAsia="zh-CN"/>
              </w:rPr>
              <w:t>拉运车辆有固定运输道路，对道路两侧植被影响较小。</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综上</w:t>
            </w:r>
            <w:r>
              <w:rPr>
                <w:rFonts w:hint="default" w:ascii="Times New Roman" w:hAnsi="Times New Roman" w:eastAsia="宋体" w:cs="Times New Roman"/>
                <w:color w:val="auto"/>
                <w:sz w:val="24"/>
                <w:lang w:val="en-US" w:eastAsia="zh-CN"/>
              </w:rPr>
              <w:t>所述</w:t>
            </w:r>
            <w:r>
              <w:rPr>
                <w:rFonts w:hint="default" w:ascii="Times New Roman" w:hAnsi="Times New Roman" w:eastAsia="宋体" w:cs="Times New Roman"/>
                <w:color w:val="auto"/>
                <w:sz w:val="24"/>
                <w:lang w:eastAsia="zh-CN"/>
              </w:rPr>
              <w:t>，项目营运期对厂区</w:t>
            </w:r>
            <w:r>
              <w:rPr>
                <w:rFonts w:hint="default" w:ascii="Times New Roman" w:hAnsi="Times New Roman" w:eastAsia="宋体" w:cs="Times New Roman"/>
                <w:color w:val="auto"/>
                <w:sz w:val="24"/>
                <w:lang w:val="en-US" w:eastAsia="zh-CN"/>
              </w:rPr>
              <w:t>周边生态</w:t>
            </w:r>
            <w:r>
              <w:rPr>
                <w:rFonts w:hint="default" w:ascii="Times New Roman" w:hAnsi="Times New Roman" w:eastAsia="宋体" w:cs="Times New Roman"/>
                <w:color w:val="auto"/>
                <w:sz w:val="24"/>
                <w:lang w:eastAsia="zh-CN"/>
              </w:rPr>
              <w:t>环境影响较小。</w:t>
            </w:r>
          </w:p>
          <w:p>
            <w:pPr>
              <w:adjustRightInd w:val="0"/>
              <w:snapToGrid w:val="0"/>
              <w:spacing w:line="360" w:lineRule="auto"/>
              <w:ind w:firstLine="482" w:firstLineChars="200"/>
              <w:rPr>
                <w:rFonts w:hint="default" w:ascii="Times New Roman" w:hAnsi="Times New Roman" w:eastAsia="宋体" w:cs="Times New Roman"/>
                <w:b/>
                <w:bCs/>
                <w:color w:val="auto"/>
                <w:kern w:val="24"/>
                <w:sz w:val="24"/>
                <w:szCs w:val="24"/>
                <w:lang w:val="en-US" w:eastAsia="zh-CN" w:bidi="ar-SA"/>
              </w:rPr>
            </w:pPr>
            <w:r>
              <w:rPr>
                <w:rFonts w:hint="default" w:ascii="Times New Roman" w:hAnsi="Times New Roman" w:eastAsia="宋体" w:cs="Times New Roman"/>
                <w:b/>
                <w:bCs/>
                <w:color w:val="auto"/>
                <w:kern w:val="24"/>
                <w:sz w:val="24"/>
                <w:szCs w:val="24"/>
                <w:lang w:val="en-US" w:eastAsia="zh-CN" w:bidi="ar-SA"/>
              </w:rPr>
              <w:t>2、生态保护措施</w:t>
            </w:r>
          </w:p>
          <w:p>
            <w:pPr>
              <w:tabs>
                <w:tab w:val="center" w:pos="4396"/>
              </w:tabs>
              <w:adjustRightInd w:val="0"/>
              <w:snapToGrid w:val="0"/>
              <w:spacing w:line="348"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项目服务期满后建设单位应严格落实以下措施：</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待项目生产运行至</w:t>
            </w:r>
            <w:r>
              <w:rPr>
                <w:rFonts w:hint="eastAsia" w:cs="Times New Roman"/>
                <w:bCs/>
                <w:snapToGrid w:val="0"/>
                <w:color w:val="auto"/>
                <w:kern w:val="0"/>
                <w:sz w:val="24"/>
                <w:szCs w:val="24"/>
                <w:lang w:val="en-US" w:eastAsia="zh-CN"/>
              </w:rPr>
              <w:t>沙坡头灌区七星渠灌域续建配套与现代化改造工程1标段</w:t>
            </w:r>
            <w:r>
              <w:rPr>
                <w:rFonts w:hint="default" w:ascii="Times New Roman" w:hAnsi="Times New Roman" w:eastAsia="宋体" w:cs="Times New Roman"/>
                <w:color w:val="auto"/>
                <w:sz w:val="24"/>
              </w:rPr>
              <w:t>工程完成后，即停止生产</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服务</w:t>
            </w:r>
            <w:r>
              <w:rPr>
                <w:rFonts w:hint="default" w:ascii="Times New Roman" w:hAnsi="Times New Roman" w:eastAsia="宋体" w:cs="Times New Roman"/>
                <w:color w:val="auto"/>
                <w:sz w:val="24"/>
              </w:rPr>
              <w:t>工程竣工后拆除</w:t>
            </w:r>
            <w:r>
              <w:rPr>
                <w:rFonts w:hint="default" w:ascii="Times New Roman" w:hAnsi="Times New Roman" w:eastAsia="宋体" w:cs="Times New Roman"/>
                <w:color w:val="auto"/>
                <w:sz w:val="24"/>
                <w:lang w:val="en-US" w:eastAsia="zh-CN"/>
              </w:rPr>
              <w:t>本</w:t>
            </w:r>
            <w:r>
              <w:rPr>
                <w:rFonts w:hint="default" w:ascii="Times New Roman" w:hAnsi="Times New Roman" w:eastAsia="宋体" w:cs="Times New Roman"/>
                <w:color w:val="auto"/>
                <w:sz w:val="24"/>
              </w:rPr>
              <w:t>项目</w:t>
            </w:r>
            <w:r>
              <w:rPr>
                <w:rFonts w:hint="default" w:ascii="Times New Roman" w:hAnsi="Times New Roman" w:eastAsia="宋体" w:cs="Times New Roman"/>
                <w:color w:val="auto"/>
                <w:sz w:val="24"/>
                <w:lang w:val="en-US" w:eastAsia="zh-CN"/>
              </w:rPr>
              <w:t>混凝土生产线</w:t>
            </w:r>
            <w:r>
              <w:rPr>
                <w:rFonts w:hint="default" w:ascii="Times New Roman" w:hAnsi="Times New Roman" w:eastAsia="宋体" w:cs="Times New Roman"/>
                <w:color w:val="auto"/>
                <w:sz w:val="24"/>
              </w:rPr>
              <w:t>和临时建筑物设备，撤出厂区所有人员，项目退役后所剩余的原材料均可转售</w:t>
            </w:r>
            <w:r>
              <w:rPr>
                <w:rFonts w:hint="default" w:ascii="Times New Roman" w:hAnsi="Times New Roman" w:eastAsia="宋体" w:cs="Times New Roman"/>
                <w:color w:val="auto"/>
                <w:sz w:val="24"/>
                <w:lang w:eastAsia="zh-CN"/>
              </w:rPr>
              <w:t>给其他</w:t>
            </w:r>
            <w:r>
              <w:rPr>
                <w:rFonts w:hint="default" w:ascii="Times New Roman" w:hAnsi="Times New Roman" w:eastAsia="宋体" w:cs="Times New Roman"/>
                <w:color w:val="auto"/>
                <w:sz w:val="24"/>
              </w:rPr>
              <w:t>同类型企业，不会对周围环境造成污染</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项目退役后，尚不属于行业淘汰范围内的，且尚符合当时国家产业政策和地方政策的设备，可出售给相应企业；属于行业淘汰范围、不符合当时国家产业政策或地方政策的，应按照相关规定予以报废</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w:t>
            </w:r>
            <w:r>
              <w:rPr>
                <w:rFonts w:hint="eastAsia" w:cs="Times New Roman"/>
                <w:color w:val="auto"/>
                <w:sz w:val="24"/>
                <w:lang w:val="en-US" w:eastAsia="zh-CN"/>
              </w:rPr>
              <w:t>4</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为减少本项目对</w:t>
            </w:r>
            <w:r>
              <w:rPr>
                <w:rFonts w:hint="eastAsia" w:cs="Times New Roman"/>
                <w:color w:val="auto"/>
                <w:sz w:val="24"/>
                <w:lang w:val="en-US" w:eastAsia="zh-CN"/>
              </w:rPr>
              <w:t>宁夏中卫富贵养牛厂</w:t>
            </w:r>
            <w:r>
              <w:rPr>
                <w:rFonts w:hint="default" w:ascii="Times New Roman" w:hAnsi="Times New Roman" w:eastAsia="宋体" w:cs="Times New Roman"/>
                <w:color w:val="auto"/>
                <w:sz w:val="24"/>
              </w:rPr>
              <w:t>场地的生态破坏，建设单位在服务期结束后，应采取</w:t>
            </w:r>
            <w:r>
              <w:rPr>
                <w:rFonts w:hint="default" w:ascii="Times New Roman" w:hAnsi="Times New Roman" w:eastAsia="宋体" w:cs="Times New Roman"/>
                <w:color w:val="auto"/>
                <w:sz w:val="24"/>
                <w:lang w:eastAsia="zh-CN"/>
              </w:rPr>
              <w:t>场地平整</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播撒</w:t>
            </w:r>
            <w:r>
              <w:rPr>
                <w:rFonts w:hint="default" w:ascii="Times New Roman" w:hAnsi="Times New Roman" w:eastAsia="宋体" w:cs="Times New Roman"/>
                <w:color w:val="auto"/>
                <w:sz w:val="24"/>
              </w:rPr>
              <w:t>草籽等相应的生态恢复与补偿措施</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rPr>
              <w:t>确保项目区域生态环境逐步得到恢复</w:t>
            </w:r>
            <w:r>
              <w:rPr>
                <w:rFonts w:hint="default" w:ascii="Times New Roman" w:hAnsi="Times New Roman" w:eastAsia="宋体" w:cs="Times New Roman"/>
                <w:color w:val="auto"/>
                <w:sz w:val="24"/>
                <w:lang w:eastAsia="zh-CN"/>
              </w:rPr>
              <w:t>；</w:t>
            </w:r>
          </w:p>
          <w:p>
            <w:pPr>
              <w:tabs>
                <w:tab w:val="center" w:pos="4396"/>
              </w:tabs>
              <w:adjustRightInd w:val="0"/>
              <w:snapToGrid w:val="0"/>
              <w:spacing w:line="348" w:lineRule="auto"/>
              <w:ind w:firstLine="482"/>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综上所述，</w:t>
            </w:r>
            <w:r>
              <w:rPr>
                <w:rFonts w:hint="default" w:ascii="Times New Roman" w:hAnsi="Times New Roman" w:eastAsia="宋体" w:cs="Times New Roman"/>
                <w:color w:val="auto"/>
                <w:sz w:val="24"/>
              </w:rPr>
              <w:t>通过上述措施后，本项目退役期对厂区周围生态环境</w:t>
            </w:r>
            <w:r>
              <w:rPr>
                <w:rFonts w:hint="default" w:ascii="Times New Roman" w:hAnsi="Times New Roman" w:eastAsia="宋体" w:cs="Times New Roman"/>
                <w:color w:val="auto"/>
                <w:sz w:val="24"/>
                <w:lang w:val="en-US" w:eastAsia="zh-CN"/>
              </w:rPr>
              <w:t>较小</w:t>
            </w:r>
            <w:r>
              <w:rPr>
                <w:rFonts w:hint="default" w:ascii="Times New Roman" w:hAnsi="Times New Roman" w:eastAsia="宋体" w:cs="Times New Roman"/>
                <w:color w:val="auto"/>
                <w:sz w:val="24"/>
              </w:rPr>
              <w:t>。</w:t>
            </w: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firstLine="480"/>
              <w:rPr>
                <w:rFonts w:hint="default" w:ascii="Times New Roman" w:hAnsi="Times New Roman" w:eastAsia="宋体" w:cs="Times New Roman"/>
                <w:color w:val="auto"/>
                <w:szCs w:val="22"/>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p>
            <w:pPr>
              <w:pStyle w:val="41"/>
              <w:framePr w:hSpace="0" w:wrap="auto" w:vAnchor="margin" w:hAnchor="text" w:xAlign="left" w:yAlign="inline"/>
              <w:adjustRightInd w:val="0"/>
              <w:snapToGrid w:val="0"/>
              <w:ind w:left="0" w:leftChars="0" w:firstLine="0" w:firstLineChars="0"/>
              <w:rPr>
                <w:rFonts w:hint="default" w:ascii="Times New Roman" w:hAnsi="Times New Roman" w:eastAsia="宋体" w:cs="Times New Roman"/>
                <w:color w:val="auto"/>
                <w:szCs w:val="22"/>
                <w:lang w:val="en-US" w:eastAsia="zh-CN"/>
              </w:rPr>
            </w:pP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adjustRightInd w:val="0"/>
        <w:snapToGrid w:val="0"/>
        <w:jc w:val="center"/>
        <w:outlineLvl w:val="0"/>
        <w:rPr>
          <w:rFonts w:eastAsia="黑体"/>
          <w:color w:val="auto"/>
          <w:sz w:val="30"/>
          <w:szCs w:val="30"/>
        </w:rPr>
      </w:pPr>
      <w:r>
        <w:rPr>
          <w:rFonts w:eastAsia="黑体"/>
          <w:color w:val="auto"/>
          <w:sz w:val="30"/>
          <w:szCs w:val="30"/>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371475</wp:posOffset>
                </wp:positionV>
                <wp:extent cx="635" cy="10795"/>
                <wp:effectExtent l="0" t="0" r="0" b="0"/>
                <wp:wrapNone/>
                <wp:docPr id="1" name="直线 6"/>
                <wp:cNvGraphicFramePr/>
                <a:graphic xmlns:a="http://schemas.openxmlformats.org/drawingml/2006/main">
                  <a:graphicData uri="http://schemas.microsoft.com/office/word/2010/wordprocessingShape">
                    <wps:wsp>
                      <wps:cNvCnPr/>
                      <wps:spPr>
                        <a:xfrm flipV="1">
                          <a:off x="0" y="0"/>
                          <a:ext cx="63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16.5pt;margin-top:29.25pt;height:0.85pt;width:0.05pt;z-index:251659264;mso-width-relative:page;mso-height-relative:page;" filled="f" stroked="t" coordsize="21600,21600" o:gfxdata="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IduEjYAAAACQEAAA8AAAAAAAAAAQAgAAAAIgAAAGRycy9kb3ducmV2LnhtbFBLAQIUABQAAAAI&#10;AIdO4kCa9Jru7QEAAOUDAAAOAAAAAAAAAAEAIAAAACcBAABkcnMvZTJvRG9jLnhtbFBLBQYAAAAA&#10;BgAGAFkBAACGBQAAAAA=&#10;">
                <v:fill on="f" focussize="0,0"/>
                <v:stroke color="#000000" joinstyle="round"/>
                <v:imagedata o:title=""/>
                <o:lock v:ext="edit" aspectratio="f"/>
              </v:line>
            </w:pict>
          </mc:Fallback>
        </mc:AlternateContent>
      </w:r>
      <w:r>
        <w:rPr>
          <w:rFonts w:eastAsia="黑体"/>
          <w:color w:val="auto"/>
          <w:sz w:val="30"/>
          <w:szCs w:val="30"/>
        </w:rPr>
        <w:t>五、</w:t>
      </w:r>
      <w:bookmarkStart w:id="2" w:name="_Hlk54167917"/>
      <w:r>
        <w:rPr>
          <w:rFonts w:eastAsia="黑体"/>
          <w:color w:val="auto"/>
          <w:sz w:val="30"/>
          <w:szCs w:val="30"/>
        </w:rPr>
        <w:t>环境保护措施监督检查清单</w:t>
      </w:r>
      <w:bookmarkEnd w:id="2"/>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44"/>
        <w:gridCol w:w="425"/>
        <w:gridCol w:w="1907"/>
        <w:gridCol w:w="1352"/>
        <w:gridCol w:w="2741"/>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要素</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内容</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排放口（编号、名称）/污染源</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污染物项目</w:t>
            </w:r>
          </w:p>
        </w:tc>
        <w:tc>
          <w:tcPr>
            <w:tcW w:w="2741"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环境保护措施</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大气</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环境</w:t>
            </w: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highlight w:val="none"/>
                <w:lang w:val="en-US" w:eastAsia="zh-CN"/>
              </w:rPr>
              <w:t>石料、水洗砂由铲车送至配料机G1</w:t>
            </w:r>
          </w:p>
        </w:tc>
        <w:tc>
          <w:tcPr>
            <w:tcW w:w="1352"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配料机顶部设置防静电挡尘帘</w:t>
            </w:r>
          </w:p>
        </w:tc>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水泥工业大气污染物排放标准</w:t>
            </w:r>
            <w:r>
              <w:rPr>
                <w:rFonts w:hint="default" w:ascii="Times New Roman" w:hAnsi="Times New Roman" w:eastAsia="宋体" w:cs="Times New Roman"/>
                <w:color w:val="auto"/>
                <w:sz w:val="24"/>
                <w:szCs w:val="24"/>
                <w:lang w:val="en-US" w:eastAsia="zh-CN"/>
              </w:rPr>
              <w:t>》(GB</w:t>
            </w:r>
            <w:r>
              <w:rPr>
                <w:rFonts w:hint="eastAsia" w:cs="Times New Roman"/>
                <w:color w:val="auto"/>
                <w:sz w:val="24"/>
                <w:szCs w:val="24"/>
                <w:lang w:val="en-US" w:eastAsia="zh-CN"/>
              </w:rPr>
              <w:t xml:space="preserve"> 4915-2013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0"/>
                <w:sz w:val="24"/>
                <w:szCs w:val="24"/>
                <w:lang w:val="en-US" w:eastAsia="zh-CN" w:bidi="ar"/>
              </w:rPr>
              <w:t>无组织排放监控浓度限值要求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rPr>
              <w:t>石料、水洗砂由皮带机送至骨料中间仓G2</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布袋除尘机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color w:val="auto"/>
                <w:kern w:val="0"/>
                <w:sz w:val="24"/>
                <w:szCs w:val="24"/>
                <w:highlight w:val="none"/>
                <w:lang w:val="en-US" w:eastAsia="zh-CN"/>
              </w:rPr>
              <w:t>水泥筒仓、粉煤灰筒仓呼吸口G3</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筒仓顶部配套</w:t>
            </w:r>
            <w:r>
              <w:rPr>
                <w:rFonts w:hint="eastAsia" w:cs="Times New Roman"/>
                <w:b w:val="0"/>
                <w:bCs w:val="0"/>
                <w:color w:val="auto"/>
                <w:kern w:val="2"/>
                <w:sz w:val="24"/>
                <w:szCs w:val="24"/>
                <w:lang w:val="en-US" w:eastAsia="zh-CN" w:bidi="ar-SA"/>
              </w:rPr>
              <w:t>脉冲袋式除尘机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color w:val="auto"/>
                <w:kern w:val="0"/>
                <w:sz w:val="24"/>
                <w:szCs w:val="24"/>
                <w:highlight w:val="none"/>
                <w:lang w:val="en-US" w:eastAsia="zh-CN"/>
              </w:rPr>
              <w:t>搅拌机搅拌G4</w:t>
            </w:r>
          </w:p>
        </w:tc>
        <w:tc>
          <w:tcPr>
            <w:tcW w:w="1352" w:type="dxa"/>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布袋除尘机</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eastAsia" w:cs="Times New Roman"/>
                <w:color w:val="auto"/>
                <w:kern w:val="0"/>
                <w:sz w:val="24"/>
                <w:szCs w:val="24"/>
                <w:highlight w:val="none"/>
                <w:lang w:val="en-US" w:eastAsia="zh-CN"/>
              </w:rPr>
              <w:t>原料仓</w:t>
            </w:r>
            <w:r>
              <w:rPr>
                <w:rFonts w:hint="default" w:ascii="Times New Roman" w:hAnsi="Times New Roman" w:eastAsia="宋体" w:cs="Times New Roman"/>
                <w:color w:val="auto"/>
                <w:kern w:val="0"/>
                <w:sz w:val="24"/>
                <w:szCs w:val="24"/>
                <w:highlight w:val="none"/>
                <w:lang w:val="en-US" w:eastAsia="zh-CN"/>
              </w:rPr>
              <w:t>粉尘G5</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pStyle w:val="16"/>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cs="Times New Roman"/>
                <w:b w:val="0"/>
                <w:bCs w:val="0"/>
                <w:color w:val="auto"/>
                <w:kern w:val="2"/>
                <w:sz w:val="24"/>
                <w:szCs w:val="24"/>
                <w:lang w:val="en-US" w:eastAsia="zh-CN" w:bidi="ar-SA"/>
              </w:rPr>
              <w:t>原料仓</w:t>
            </w:r>
            <w:r>
              <w:rPr>
                <w:rFonts w:hint="default" w:ascii="Times New Roman" w:hAnsi="Times New Roman" w:eastAsia="宋体" w:cs="Times New Roman"/>
                <w:b w:val="0"/>
                <w:bCs w:val="0"/>
                <w:color w:val="auto"/>
                <w:kern w:val="2"/>
                <w:sz w:val="24"/>
                <w:szCs w:val="24"/>
                <w:lang w:val="en-US" w:eastAsia="zh-CN" w:bidi="ar-SA"/>
              </w:rPr>
              <w:t>物料采取防尘网全覆盖措施，施工作业避开大风天气，厂区道路定期洒水抑尘。</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p>
        </w:tc>
        <w:tc>
          <w:tcPr>
            <w:tcW w:w="2332" w:type="dxa"/>
            <w:gridSpan w:val="2"/>
            <w:noWrap w:val="0"/>
            <w:vAlign w:val="center"/>
          </w:tcPr>
          <w:p>
            <w:pPr>
              <w:pStyle w:val="2"/>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车辆运输扬尘G6</w:t>
            </w:r>
          </w:p>
        </w:tc>
        <w:tc>
          <w:tcPr>
            <w:tcW w:w="135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颗粒物</w:t>
            </w:r>
          </w:p>
        </w:tc>
        <w:tc>
          <w:tcPr>
            <w:tcW w:w="274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门口设置车辆冲洗平台，运输物料的车辆缓慢行驶且不得超载，物料采用苫布覆盖。</w:t>
            </w:r>
          </w:p>
        </w:tc>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74" w:hRule="atLeast"/>
          <w:jc w:val="center"/>
        </w:trPr>
        <w:tc>
          <w:tcPr>
            <w:tcW w:w="744"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地表水环境</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生活污水</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b w:val="0"/>
                <w:bCs/>
                <w:color w:val="auto"/>
                <w:sz w:val="24"/>
                <w:szCs w:val="24"/>
                <w:lang w:val="en-US" w:eastAsia="zh-CN"/>
              </w:rPr>
              <w:t>pH、SS、COD、BOD、氨氮</w:t>
            </w:r>
          </w:p>
        </w:tc>
        <w:tc>
          <w:tcPr>
            <w:tcW w:w="2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旱厕堆肥后还田</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79"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p>
        </w:tc>
        <w:tc>
          <w:tcPr>
            <w:tcW w:w="42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生产废水</w:t>
            </w:r>
          </w:p>
        </w:tc>
        <w:tc>
          <w:tcPr>
            <w:tcW w:w="190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车辆冲洗用水</w:t>
            </w:r>
          </w:p>
        </w:tc>
        <w:tc>
          <w:tcPr>
            <w:tcW w:w="135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SS</w:t>
            </w:r>
          </w:p>
        </w:tc>
        <w:tc>
          <w:tcPr>
            <w:tcW w:w="274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10m</w:t>
            </w:r>
            <w:r>
              <w:rPr>
                <w:rFonts w:hint="eastAsia"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临时沉淀池，沉淀后回用于道路洒水降尘</w:t>
            </w:r>
          </w:p>
        </w:tc>
        <w:tc>
          <w:tcPr>
            <w:tcW w:w="177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7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p>
        </w:tc>
        <w:tc>
          <w:tcPr>
            <w:tcW w:w="425"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190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搅拌机清洗废水</w:t>
            </w:r>
          </w:p>
        </w:tc>
        <w:tc>
          <w:tcPr>
            <w:tcW w:w="1352"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2741"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c>
          <w:tcPr>
            <w:tcW w:w="177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声环境</w:t>
            </w:r>
          </w:p>
        </w:tc>
        <w:tc>
          <w:tcPr>
            <w:tcW w:w="233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设备噪声</w:t>
            </w:r>
          </w:p>
        </w:tc>
        <w:tc>
          <w:tcPr>
            <w:tcW w:w="1352"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c>
          <w:tcPr>
            <w:tcW w:w="2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选择低噪声设备，采取</w:t>
            </w:r>
            <w:r>
              <w:rPr>
                <w:rFonts w:hint="default" w:ascii="Times New Roman" w:hAnsi="Times New Roman" w:eastAsia="宋体" w:cs="Times New Roman"/>
                <w:color w:val="auto"/>
                <w:sz w:val="24"/>
                <w:szCs w:val="24"/>
              </w:rPr>
              <w:t>隔声</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基础</w:t>
            </w:r>
            <w:r>
              <w:rPr>
                <w:rFonts w:hint="default" w:ascii="Times New Roman" w:hAnsi="Times New Roman" w:eastAsia="宋体" w:cs="Times New Roman"/>
                <w:color w:val="auto"/>
                <w:sz w:val="24"/>
                <w:szCs w:val="24"/>
              </w:rPr>
              <w:t>减</w:t>
            </w:r>
            <w:r>
              <w:rPr>
                <w:rFonts w:hint="default" w:ascii="Times New Roman" w:hAnsi="Times New Roman" w:eastAsia="宋体" w:cs="Times New Roman"/>
                <w:color w:val="auto"/>
                <w:sz w:val="24"/>
                <w:szCs w:val="24"/>
                <w:lang w:val="en-US" w:eastAsia="zh-CN"/>
              </w:rPr>
              <w:t>振</w:t>
            </w:r>
            <w:r>
              <w:rPr>
                <w:rFonts w:hint="default" w:ascii="Times New Roman" w:hAnsi="Times New Roman" w:eastAsia="宋体" w:cs="Times New Roman"/>
                <w:color w:val="auto"/>
                <w:sz w:val="24"/>
                <w:szCs w:val="24"/>
              </w:rPr>
              <w:t>等措施</w:t>
            </w:r>
            <w:r>
              <w:rPr>
                <w:rFonts w:hint="default" w:ascii="Times New Roman" w:hAnsi="Times New Roman" w:eastAsia="宋体" w:cs="Times New Roman"/>
                <w:color w:val="auto"/>
                <w:sz w:val="24"/>
                <w:szCs w:val="24"/>
                <w:lang w:eastAsia="zh-CN"/>
              </w:rPr>
              <w:t>。</w:t>
            </w:r>
          </w:p>
        </w:tc>
        <w:tc>
          <w:tcPr>
            <w:tcW w:w="1779"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《工业企业厂界环境噪声排放标准》（GB</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12348-2008）中</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类区标准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电磁</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辐射</w:t>
            </w:r>
          </w:p>
        </w:tc>
        <w:tc>
          <w:tcPr>
            <w:tcW w:w="8204" w:type="dxa"/>
            <w:gridSpan w:val="5"/>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固体</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废物</w:t>
            </w:r>
          </w:p>
        </w:tc>
        <w:tc>
          <w:tcPr>
            <w:tcW w:w="8204" w:type="dxa"/>
            <w:gridSpan w:val="5"/>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①除尘装置收集的粉尘及搅拌系统的拌合残渣回用于生产；</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②筛选出的废石料在</w:t>
            </w:r>
            <w:r>
              <w:rPr>
                <w:rFonts w:hint="eastAsia" w:cs="Times New Roman"/>
                <w:b w:val="0"/>
                <w:bCs w:val="0"/>
                <w:color w:val="auto"/>
                <w:kern w:val="2"/>
                <w:sz w:val="24"/>
                <w:szCs w:val="24"/>
                <w:vertAlign w:val="baseline"/>
                <w:lang w:val="en-US" w:eastAsia="zh-CN" w:bidi="ar-SA"/>
              </w:rPr>
              <w:t>原料仓</w:t>
            </w:r>
            <w:r>
              <w:rPr>
                <w:rFonts w:hint="default" w:ascii="Times New Roman" w:hAnsi="Times New Roman" w:eastAsia="宋体" w:cs="Times New Roman"/>
                <w:b w:val="0"/>
                <w:bCs w:val="0"/>
                <w:color w:val="auto"/>
                <w:kern w:val="2"/>
                <w:sz w:val="24"/>
                <w:szCs w:val="24"/>
                <w:vertAlign w:val="baseline"/>
                <w:lang w:val="en-US" w:eastAsia="zh-CN" w:bidi="ar-SA"/>
              </w:rPr>
              <w:t>暂存，由生产厂家回收；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eastAsia="zh-CN"/>
              </w:rPr>
            </w:pPr>
            <w:r>
              <w:rPr>
                <w:rFonts w:hint="eastAsia" w:cs="Times New Roman"/>
                <w:b w:val="0"/>
                <w:bCs w:val="0"/>
                <w:color w:val="auto"/>
                <w:sz w:val="24"/>
                <w:szCs w:val="24"/>
                <w:lang w:val="en-US" w:eastAsia="zh-CN"/>
              </w:rPr>
              <w:t>③</w:t>
            </w:r>
            <w:r>
              <w:rPr>
                <w:rFonts w:hint="default" w:ascii="Times New Roman" w:hAnsi="Times New Roman" w:eastAsia="宋体" w:cs="Times New Roman"/>
                <w:b w:val="0"/>
                <w:bCs w:val="0"/>
                <w:color w:val="auto"/>
                <w:sz w:val="24"/>
                <w:szCs w:val="24"/>
                <w:lang w:val="en-US" w:eastAsia="zh-CN"/>
              </w:rPr>
              <w:t>设置垃圾桶收集生活垃圾，运至附近的垃圾转运点处理。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土壤及地下水污染防治措施</w:t>
            </w:r>
          </w:p>
        </w:tc>
        <w:tc>
          <w:tcPr>
            <w:tcW w:w="8204" w:type="dxa"/>
            <w:gridSpan w:val="5"/>
            <w:noWrap w:val="0"/>
            <w:vAlign w:val="center"/>
          </w:tcPr>
          <w:p>
            <w:pPr>
              <w:pStyle w:val="21"/>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①厂区地面采用碎石铺设，旱厕及沉淀池防渗处理；</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②厂区周边种植具有较强吸附能力的植物；</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kern w:val="2"/>
                <w:sz w:val="24"/>
                <w:szCs w:val="24"/>
                <w:vertAlign w:val="baseline"/>
                <w:lang w:val="en-US" w:eastAsia="zh-CN" w:bidi="ar-SA"/>
              </w:rPr>
              <w:t>③定期清扫厂区，做好设备维护工作。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生态保护措施</w:t>
            </w:r>
          </w:p>
        </w:tc>
        <w:tc>
          <w:tcPr>
            <w:tcW w:w="820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①项目服务期满后，立即停止生产，生产设备及原材料合理处置；</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eastAsia" w:cs="Times New Roman"/>
                <w:b w:val="0"/>
                <w:bCs w:val="0"/>
                <w:color w:val="auto"/>
                <w:kern w:val="2"/>
                <w:sz w:val="24"/>
                <w:szCs w:val="24"/>
                <w:lang w:val="en-US" w:eastAsia="zh-CN" w:bidi="ar-SA"/>
              </w:rPr>
              <w:t>②</w:t>
            </w:r>
            <w:r>
              <w:rPr>
                <w:rFonts w:hint="default" w:ascii="Times New Roman" w:hAnsi="Times New Roman" w:eastAsia="宋体" w:cs="Times New Roman"/>
                <w:b w:val="0"/>
                <w:bCs w:val="0"/>
                <w:color w:val="auto"/>
                <w:kern w:val="2"/>
                <w:sz w:val="24"/>
                <w:szCs w:val="24"/>
                <w:lang w:val="en-US" w:eastAsia="zh-CN" w:bidi="ar-SA"/>
              </w:rPr>
              <w:t>采取场地平整、播撒草籽等相应的生态恢复与补偿措施，确保项目区域生态环境逐步得到恢复。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lang w:val="en-US"/>
              </w:rPr>
            </w:pPr>
            <w:r>
              <w:rPr>
                <w:rFonts w:hint="default" w:ascii="Times New Roman" w:hAnsi="Times New Roman" w:eastAsia="宋体" w:cs="Times New Roman"/>
                <w:b/>
                <w:bCs/>
                <w:color w:val="auto"/>
                <w:spacing w:val="-8"/>
                <w:sz w:val="24"/>
                <w:szCs w:val="24"/>
                <w:highlight w:val="none"/>
                <w:lang w:val="en-US" w:eastAsia="zh-CN"/>
              </w:rPr>
              <w:t>环境风险</w:t>
            </w:r>
          </w:p>
        </w:tc>
        <w:tc>
          <w:tcPr>
            <w:tcW w:w="8204" w:type="dxa"/>
            <w:gridSpan w:val="5"/>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①定期检查并加强环保设施运行管理情况；</w:t>
            </w:r>
          </w:p>
          <w:p>
            <w:pPr>
              <w:pStyle w:val="21"/>
              <w:keepNext w:val="0"/>
              <w:keepLines w:val="0"/>
              <w:pageBreakBefore w:val="0"/>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②粉尘爆炸危险场所设备和装置</w:t>
            </w:r>
            <w:r>
              <w:rPr>
                <w:rFonts w:hint="eastAsia" w:ascii="Times New Roman" w:hAnsi="Times New Roman" w:eastAsia="宋体" w:cs="Times New Roman"/>
                <w:b w:val="0"/>
                <w:bCs w:val="0"/>
                <w:color w:val="auto"/>
                <w:kern w:val="2"/>
                <w:sz w:val="24"/>
                <w:szCs w:val="24"/>
                <w:lang w:val="en-US" w:eastAsia="zh-CN" w:bidi="ar-SA"/>
              </w:rPr>
              <w:t>禁止明火，并配备消防设施。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 w:hRule="atLeast"/>
          <w:jc w:val="center"/>
        </w:trPr>
        <w:tc>
          <w:tcPr>
            <w:tcW w:w="7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其他</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环境</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管理</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bCs/>
                <w:color w:val="auto"/>
                <w:spacing w:val="-8"/>
                <w:sz w:val="24"/>
                <w:szCs w:val="24"/>
              </w:rPr>
            </w:pPr>
            <w:r>
              <w:rPr>
                <w:rFonts w:hint="default" w:ascii="Times New Roman" w:hAnsi="Times New Roman" w:eastAsia="宋体" w:cs="Times New Roman"/>
                <w:b/>
                <w:bCs/>
                <w:color w:val="auto"/>
                <w:spacing w:val="-8"/>
                <w:sz w:val="24"/>
                <w:szCs w:val="24"/>
              </w:rPr>
              <w:t>要求</w:t>
            </w:r>
          </w:p>
        </w:tc>
        <w:tc>
          <w:tcPr>
            <w:tcW w:w="820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1、环境管理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安排1名</w:t>
            </w:r>
            <w:r>
              <w:rPr>
                <w:rFonts w:hint="default" w:ascii="Times New Roman" w:hAnsi="Times New Roman" w:eastAsia="宋体" w:cs="Times New Roman"/>
                <w:color w:val="auto"/>
                <w:sz w:val="24"/>
                <w:szCs w:val="24"/>
                <w:lang w:val="en-US" w:eastAsia="zh-CN"/>
              </w:rPr>
              <w:t>安环专员</w:t>
            </w:r>
            <w:r>
              <w:rPr>
                <w:rFonts w:hint="default" w:ascii="Times New Roman" w:hAnsi="Times New Roman" w:eastAsia="宋体" w:cs="Times New Roman"/>
                <w:color w:val="auto"/>
                <w:sz w:val="24"/>
                <w:szCs w:val="24"/>
              </w:rPr>
              <w:t>完成本项目的环境管理及各项环保设施正常运行的监督管理工作。企业应加强环境管理及监测，建立全员责任制的环境管理体系，环境管理人员应更好地利用经济、技术、行政和教育手段，对损害环境质量的生产活动加以限制，协调好发展经济与环境保护的关系。</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lang w:val="en-US" w:eastAsia="zh-CN"/>
              </w:rPr>
              <w:t>竣工环保验收</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kern w:val="0"/>
                <w:sz w:val="24"/>
                <w:szCs w:val="24"/>
                <w:highlight w:val="none"/>
                <w:lang w:val="en-US" w:eastAsia="zh-CN" w:bidi="ar"/>
              </w:rPr>
              <w:t>根据《建设项目环境保护管理条例》（中华人民共和国国务院令第682号）、《建设项目竣工环境保护验收暂行办法》（国环规环评</w:t>
            </w:r>
            <w:r>
              <w:rPr>
                <w:rFonts w:hint="default" w:ascii="Times New Roman" w:hAnsi="Times New Roman" w:eastAsia="宋体" w:cs="Times New Roman"/>
                <w:color w:val="auto"/>
                <w:sz w:val="24"/>
                <w:szCs w:val="24"/>
                <w:lang w:val="en-US" w:eastAsia="zh-CN"/>
              </w:rPr>
              <w:t>〔2017〕</w:t>
            </w:r>
            <w:r>
              <w:rPr>
                <w:rFonts w:hint="default" w:ascii="Times New Roman" w:hAnsi="Times New Roman" w:eastAsia="宋体" w:cs="Times New Roman"/>
                <w:color w:val="auto"/>
                <w:kern w:val="0"/>
                <w:sz w:val="24"/>
                <w:szCs w:val="24"/>
                <w:highlight w:val="none"/>
                <w:lang w:val="en-US" w:eastAsia="zh-CN" w:bidi="ar"/>
              </w:rPr>
              <w:t>4号）等文件中的管理要求，建设项目竣工后，建设单位应当按照国务院环境保护行政主管部门规定的标准和程序，对配套建设的环境保护设施进行验收，编制竣工环境保护验收监测（调查）报告。</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污染源监测管理要求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项目建成投运后，建设单位应制定自行监测计划，将有关废气、噪声等例行监测工作开展落实，监测报告记录留档并按要求公示。</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固体废物管理要求</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kern w:val="0"/>
                <w:sz w:val="24"/>
                <w:szCs w:val="24"/>
                <w:lang w:val="en-US" w:eastAsia="zh-CN" w:bidi="ar"/>
              </w:rPr>
              <w:t>一般工业固体废物管理要求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一般固体废物管理执行《中华人民共和国固体废物污染环境防治法》（2020年修订）中相关要求。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对固体废物实行从产生、运输直至最终处理实行全过程管理，加强固体废物运输过程的事故风险防范，按照有关法律法规的要求，对固体废弃物全过程管理应报当地生态环境行政主管部门等批准。禁止向生活垃圾收集设施中投放工业固体废物，生活垃圾及时清运，避免长期堆存产生二次污染。建设单位委托他人运输、利用、处置工业固体废物的，应当对受托方的主体资格和技术能力进行核实，依法签订书面合同，在合同中约定污染防治要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Chars="0" w:firstLine="482" w:firstLineChars="200"/>
              <w:jc w:val="left"/>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（3）生活垃圾</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lang w:val="en-US" w:eastAsia="zh-CN" w:bidi="ar"/>
              </w:rPr>
              <w:t>生活垃圾及时清运至附近垃圾转运点，避免长期堆存产生二次污染。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color w:val="auto"/>
                <w:lang w:val="en-US" w:eastAsia="zh-CN"/>
              </w:rPr>
            </w:pPr>
            <w:r>
              <w:rPr>
                <w:rFonts w:hint="default" w:ascii="Times New Roman" w:hAnsi="Times New Roman" w:eastAsia="宋体" w:cs="Times New Roman"/>
                <w:color w:val="auto"/>
                <w:kern w:val="0"/>
                <w:sz w:val="24"/>
                <w:szCs w:val="24"/>
                <w:lang w:val="en-US" w:eastAsia="zh-CN" w:bidi="ar"/>
              </w:rPr>
              <w:t>通过采取以上措施后，本项目生产过程中产生的固体废物均得到合理处置和处理，不会对当地环境产生明显影响。</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加强工业企业环保设备设施安全生产工作</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按照《关于加强工业企业环保设备设施安全生产工作的通知》（宁环办发〔2023〕1号）和《环境污染防治设施安全隐患排查规范》（T/JSSES 20-2022）中要求，落实环保设施安全生产要求。</w:t>
            </w: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①本项目各环保设备设施纳入重点风险源范围加强管理，纳入安全评价报告进行论证分析；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kern w:val="0"/>
                <w:sz w:val="24"/>
                <w:szCs w:val="24"/>
                <w:lang w:val="en-US" w:eastAsia="zh-CN" w:bidi="ar"/>
              </w:rPr>
              <w:t>严格落实涉环保设备设施新、改、扩建项目环保和安全“三同时”要求，在选用污染防治技术时充分考虑安全因素；</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③定期排查布袋除尘器安全是否符合《工贸企业粉尘防爆安全规定》，预防和减少粉尘爆炸事故；</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④建立健全环保设施台账和维护管理制度，对环保设施操作、危险作业等相关岗位人员开展安全操作规程、风险管控专项安全培训教育。</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⑤依法依规开展环保设施安全风险辨识管控和隐患排查治理，确保环保设施安全、稳定、有效运行。</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left="0" w:firstLine="482" w:firstLineChars="200"/>
              <w:jc w:val="both"/>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b/>
                <w:bCs/>
                <w:color w:val="auto"/>
                <w:sz w:val="24"/>
                <w:szCs w:val="24"/>
                <w:lang w:val="en-US" w:eastAsia="zh-CN"/>
              </w:rPr>
              <w:t>服务期结束后场地恢复管理</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本项目为临时项目，项目用地恢复原状，暂定运营期限为</w:t>
            </w:r>
            <w:r>
              <w:rPr>
                <w:rFonts w:hint="eastAsia" w:cs="Times New Roman"/>
                <w:color w:val="auto"/>
                <w:sz w:val="24"/>
                <w:szCs w:val="24"/>
                <w:lang w:val="en-US" w:eastAsia="zh-CN"/>
              </w:rPr>
              <w:t>450天</w:t>
            </w:r>
            <w:r>
              <w:rPr>
                <w:rFonts w:hint="default" w:ascii="Times New Roman" w:hAnsi="Times New Roman" w:eastAsia="宋体" w:cs="Times New Roman"/>
                <w:color w:val="auto"/>
                <w:sz w:val="24"/>
                <w:szCs w:val="24"/>
              </w:rPr>
              <w:t>。本项目退场后，不</w:t>
            </w:r>
            <w:r>
              <w:rPr>
                <w:rFonts w:hint="default" w:ascii="Times New Roman" w:hAnsi="Times New Roman" w:eastAsia="宋体" w:cs="Times New Roman"/>
                <w:color w:val="auto"/>
                <w:sz w:val="24"/>
                <w:szCs w:val="24"/>
                <w:lang w:val="en-US" w:eastAsia="zh-CN"/>
              </w:rPr>
              <w:t>再</w:t>
            </w:r>
            <w:r>
              <w:rPr>
                <w:rFonts w:hint="default" w:ascii="Times New Roman" w:hAnsi="Times New Roman" w:eastAsia="宋体" w:cs="Times New Roman"/>
                <w:color w:val="auto"/>
                <w:sz w:val="24"/>
                <w:szCs w:val="24"/>
              </w:rPr>
              <w:t>产生废气、废水、噪声和固废，但由项目建设引起的生态环境影响需采取必要的生态保护措施进行恢复。</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必须落实污染防治和生态恢复计划，经环保部门和其他有关主管部门审核后，按照有关规定办理相关手续。本项目所占用的土地恢复原有使用功能；对本项目的各种构筑物和设备设施清理完毕后确定无安全和环境污染遗留问题后，可与有关部门协商处理场地回复问题。按照“谁破坏、谁</w:t>
            </w:r>
            <w:r>
              <w:rPr>
                <w:rFonts w:hint="default" w:ascii="Times New Roman" w:hAnsi="Times New Roman" w:eastAsia="宋体" w:cs="Times New Roman"/>
                <w:color w:val="auto"/>
                <w:sz w:val="24"/>
                <w:szCs w:val="24"/>
                <w:lang w:eastAsia="zh-CN"/>
              </w:rPr>
              <w:t>恢</w:t>
            </w:r>
            <w:r>
              <w:rPr>
                <w:rFonts w:hint="default" w:ascii="Times New Roman" w:hAnsi="Times New Roman" w:eastAsia="宋体" w:cs="Times New Roman"/>
                <w:color w:val="auto"/>
                <w:sz w:val="24"/>
                <w:szCs w:val="24"/>
              </w:rPr>
              <w:t>复、谁保护”的原则，建设单位</w:t>
            </w:r>
            <w:r>
              <w:rPr>
                <w:rFonts w:hint="default" w:ascii="Times New Roman" w:hAnsi="Times New Roman" w:eastAsia="宋体" w:cs="Times New Roman"/>
                <w:color w:val="auto"/>
                <w:sz w:val="24"/>
                <w:szCs w:val="24"/>
                <w:lang w:eastAsia="zh-CN"/>
              </w:rPr>
              <w:t>为生态恢复责任主体，建设单位应</w:t>
            </w:r>
            <w:r>
              <w:rPr>
                <w:rFonts w:hint="default" w:ascii="Times New Roman" w:hAnsi="Times New Roman" w:eastAsia="宋体" w:cs="Times New Roman"/>
                <w:color w:val="auto"/>
                <w:sz w:val="24"/>
                <w:szCs w:val="24"/>
              </w:rPr>
              <w:t>采取生态恢复措施，防止造成生态破坏。</w:t>
            </w:r>
          </w:p>
          <w:p>
            <w:pPr>
              <w:pStyle w:val="41"/>
              <w:keepNext w:val="0"/>
              <w:keepLines w:val="0"/>
              <w:pageBreakBefore w:val="0"/>
              <w:framePr w:hSpace="0" w:wrap="auto" w:vAnchor="margin" w:hAnchor="text" w:xAlign="left" w:yAlign="inline"/>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企业严格按照国土部门关于项目用地租赁合同中的相关要求执行；严格按照国家相关法律法规和政策使用土地，不得改变土地使用性质，严格履行临时用地合同</w:t>
            </w:r>
            <w:r>
              <w:rPr>
                <w:rFonts w:hint="default" w:ascii="Times New Roman" w:hAnsi="Times New Roman" w:eastAsia="宋体" w:cs="Times New Roman"/>
                <w:color w:val="auto"/>
                <w:sz w:val="24"/>
                <w:szCs w:val="24"/>
                <w:lang w:eastAsia="zh-CN"/>
              </w:rPr>
              <w:t>，在</w:t>
            </w:r>
            <w:r>
              <w:rPr>
                <w:rFonts w:hint="default" w:ascii="Times New Roman" w:hAnsi="Times New Roman" w:eastAsia="宋体" w:cs="Times New Roman"/>
                <w:color w:val="auto"/>
                <w:sz w:val="24"/>
                <w:szCs w:val="24"/>
              </w:rPr>
              <w:t>临时用地期满后6个月内恢复土地利用条件，并经过国土等有关部门验收合格后交还。</w:t>
            </w:r>
          </w:p>
          <w:p>
            <w:pPr>
              <w:pStyle w:val="6"/>
              <w:keepNext w:val="0"/>
              <w:keepLines w:val="0"/>
              <w:pageBreakBefore w:val="0"/>
              <w:kinsoku/>
              <w:wordWrap/>
              <w:overflowPunct/>
              <w:topLinePunct w:val="0"/>
              <w:autoSpaceDE/>
              <w:autoSpaceDN/>
              <w:bidi w:val="0"/>
              <w:adjustRightInd w:val="0"/>
              <w:snapToGrid w:val="0"/>
              <w:spacing w:before="0" w:after="0" w:line="360" w:lineRule="auto"/>
              <w:ind w:firstLine="482" w:firstLineChars="200"/>
              <w:jc w:val="both"/>
              <w:textAlignment w:val="auto"/>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pStyle w:val="2"/>
              <w:rPr>
                <w:rFonts w:hint="default"/>
                <w:color w:val="auto"/>
                <w:lang w:val="en-US" w:eastAsia="zh-CN"/>
              </w:rPr>
            </w:pP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p>
          <w:p>
            <w:pPr>
              <w:pStyle w:val="2"/>
              <w:rPr>
                <w:rFonts w:hint="default" w:ascii="Times New Roman" w:hAnsi="Times New Roman" w:eastAsia="宋体" w:cs="Times New Roman"/>
                <w:color w:val="auto"/>
                <w:sz w:val="24"/>
                <w:szCs w:val="24"/>
                <w:lang w:val="en-US" w:eastAsia="zh-CN"/>
              </w:rPr>
            </w:pPr>
          </w:p>
          <w:p>
            <w:pPr>
              <w:rPr>
                <w:rFonts w:hint="default" w:ascii="Times New Roman" w:hAnsi="Times New Roman" w:eastAsia="宋体" w:cs="Times New Roman"/>
                <w:color w:val="auto"/>
                <w:sz w:val="24"/>
                <w:szCs w:val="24"/>
                <w:lang w:val="en-US" w:eastAsia="zh-CN"/>
              </w:rPr>
            </w:pPr>
          </w:p>
          <w:p>
            <w:pPr>
              <w:rPr>
                <w:rFonts w:hint="default"/>
                <w:color w:val="auto"/>
                <w:lang w:val="en-US" w:eastAsia="zh-CN"/>
              </w:rPr>
            </w:pPr>
          </w:p>
        </w:tc>
      </w:tr>
    </w:tbl>
    <w:p>
      <w:pPr>
        <w:adjustRightInd w:val="0"/>
        <w:snapToGrid w:val="0"/>
        <w:jc w:val="center"/>
        <w:outlineLvl w:val="0"/>
        <w:rPr>
          <w:rFonts w:eastAsia="黑体"/>
          <w:color w:val="auto"/>
          <w:sz w:val="30"/>
          <w:szCs w:val="30"/>
        </w:rPr>
      </w:pPr>
      <w:r>
        <w:rPr>
          <w:rFonts w:eastAsia="黑体"/>
          <w:color w:val="auto"/>
          <w:sz w:val="30"/>
          <w:szCs w:val="30"/>
        </w:rPr>
        <w:br w:type="page"/>
      </w:r>
      <w:r>
        <w:rPr>
          <w:rFonts w:eastAsia="黑体"/>
          <w:color w:val="auto"/>
          <w:sz w:val="30"/>
          <w:szCs w:val="30"/>
        </w:rPr>
        <w:t>六、结论</w:t>
      </w:r>
    </w:p>
    <w:tbl>
      <w:tblPr>
        <w:tblStyle w:val="2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05" w:hRule="atLeast"/>
          <w:jc w:val="center"/>
        </w:trPr>
        <w:tc>
          <w:tcPr>
            <w:tcW w:w="8865" w:type="dxa"/>
            <w:noWrap w:val="0"/>
            <w:vAlign w:val="center"/>
          </w:tcPr>
          <w:p>
            <w:pPr>
              <w:adjustRightInd w:val="0"/>
              <w:snapToGrid w:val="0"/>
              <w:spacing w:line="360" w:lineRule="auto"/>
              <w:ind w:firstLine="480" w:firstLineChars="200"/>
              <w:jc w:val="both"/>
              <w:rPr>
                <w:rFonts w:hint="eastAsia"/>
                <w:color w:val="auto"/>
                <w:sz w:val="24"/>
                <w:szCs w:val="24"/>
                <w:lang w:val="en-US" w:eastAsia="zh-CN"/>
              </w:rPr>
            </w:pPr>
            <w:r>
              <w:rPr>
                <w:rFonts w:hint="eastAsia"/>
                <w:color w:val="auto"/>
                <w:sz w:val="24"/>
              </w:rPr>
              <w:t>综上所述，本项目的建设符合国家和地方产业政策要求，选址合理可行，项目各项污染物经采取切实可行的污染防治措施后，均能实现达标排放。建设单位须切实落实环境影响报告表中提出的各项污染防治措施和环境管理要求，严格执行建设项目环境保护“三同时”制度，在确保各项污染物达标排放的前提下，从环境保护的角度考虑，本项目的建设是可行的。</w:t>
            </w:r>
          </w:p>
        </w:tc>
      </w:tr>
    </w:tbl>
    <w:p>
      <w:pPr>
        <w:rPr>
          <w:color w:val="auto"/>
        </w:rPr>
        <w:sectPr>
          <w:pgSz w:w="11906" w:h="16838"/>
          <w:pgMar w:top="1587" w:right="1587" w:bottom="1587" w:left="1587" w:header="1304" w:footer="1020"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ind w:firstLine="600" w:firstLineChars="200"/>
        <w:jc w:val="center"/>
        <w:textAlignment w:val="auto"/>
        <w:outlineLvl w:val="9"/>
        <w:rPr>
          <w:rFonts w:eastAsia="黑体"/>
          <w:color w:val="auto"/>
          <w:sz w:val="30"/>
          <w:szCs w:val="30"/>
        </w:rPr>
      </w:pPr>
      <w:r>
        <w:rPr>
          <w:rFonts w:eastAsia="黑体"/>
          <w:color w:val="auto"/>
          <w:sz w:val="30"/>
          <w:szCs w:val="30"/>
        </w:rPr>
        <w:t>建设项目污染物排放量汇总表</w:t>
      </w:r>
    </w:p>
    <w:tbl>
      <w:tblPr>
        <w:tblStyle w:val="22"/>
        <w:tblW w:w="141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707"/>
        <w:gridCol w:w="1748"/>
        <w:gridCol w:w="1196"/>
        <w:gridCol w:w="1695"/>
        <w:gridCol w:w="1515"/>
        <w:gridCol w:w="1740"/>
        <w:gridCol w:w="1785"/>
        <w:gridCol w:w="1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2" w:type="dxa"/>
            <w:tcBorders>
              <w:tl2br w:val="single" w:color="auto" w:sz="4" w:space="0"/>
            </w:tcBorders>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hint="eastAsia" w:ascii="Times New Roman"/>
                <w:b/>
                <w:bCs/>
                <w:snapToGrid w:val="0"/>
                <w:color w:val="auto"/>
                <w:spacing w:val="-6"/>
                <w:kern w:val="21"/>
                <w:szCs w:val="21"/>
                <w:lang w:val="en-US" w:eastAsia="zh-CN"/>
              </w:rPr>
              <w:t xml:space="preserve">        </w:t>
            </w:r>
            <w:r>
              <w:rPr>
                <w:rFonts w:ascii="Times New Roman"/>
                <w:b/>
                <w:bCs/>
                <w:snapToGrid w:val="0"/>
                <w:color w:val="auto"/>
                <w:spacing w:val="-6"/>
                <w:kern w:val="21"/>
                <w:szCs w:val="21"/>
                <w:lang w:val="en-US" w:eastAsia="zh-CN"/>
              </w:rPr>
              <w:t>项目</w:t>
            </w:r>
          </w:p>
          <w:p>
            <w:pPr>
              <w:pStyle w:val="31"/>
              <w:spacing w:beforeLines="0" w:afterLines="0" w:line="240" w:lineRule="auto"/>
              <w:ind w:firstLine="0"/>
              <w:jc w:val="both"/>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分类</w:t>
            </w:r>
          </w:p>
        </w:tc>
        <w:tc>
          <w:tcPr>
            <w:tcW w:w="1707"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污染物名称</w:t>
            </w:r>
          </w:p>
        </w:tc>
        <w:tc>
          <w:tcPr>
            <w:tcW w:w="1748"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1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①</w:t>
            </w:r>
            <w:r>
              <w:rPr>
                <w:rFonts w:ascii="Times New Roman"/>
                <w:b/>
                <w:bCs/>
                <w:snapToGrid w:val="0"/>
                <w:color w:val="auto"/>
                <w:spacing w:val="-6"/>
                <w:kern w:val="21"/>
                <w:szCs w:val="21"/>
                <w:lang w:val="en-US" w:eastAsia="zh-CN"/>
              </w:rPr>
              <w:fldChar w:fldCharType="end"/>
            </w:r>
          </w:p>
        </w:tc>
        <w:tc>
          <w:tcPr>
            <w:tcW w:w="1196"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许可排放量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2 \* GB3 \* MERGEFORMAT </w:instrText>
            </w:r>
            <w:r>
              <w:rPr>
                <w:rFonts w:ascii="Times New Roman"/>
                <w:b/>
                <w:bCs/>
                <w:snapToGrid w:val="0"/>
                <w:color w:val="auto"/>
                <w:spacing w:val="-6"/>
                <w:kern w:val="21"/>
                <w:szCs w:val="21"/>
                <w:lang w:val="en-US" w:eastAsia="zh-CN"/>
              </w:rPr>
              <w:fldChar w:fldCharType="separate"/>
            </w:r>
            <w:r>
              <w:rPr>
                <w:rFonts w:ascii="Times New Roman"/>
                <w:b/>
                <w:bCs/>
                <w:snapToGrid w:val="0"/>
                <w:color w:val="auto"/>
                <w:spacing w:val="-6"/>
                <w:kern w:val="21"/>
                <w:szCs w:val="21"/>
                <w:lang w:val="en-US" w:eastAsia="zh-CN"/>
              </w:rPr>
              <w:t>②</w:t>
            </w:r>
            <w:r>
              <w:rPr>
                <w:rFonts w:ascii="Times New Roman"/>
                <w:b/>
                <w:bCs/>
                <w:snapToGrid w:val="0"/>
                <w:color w:val="auto"/>
                <w:spacing w:val="-6"/>
                <w:kern w:val="21"/>
                <w:szCs w:val="21"/>
                <w:lang w:val="en-US" w:eastAsia="zh-CN"/>
              </w:rPr>
              <w:fldChar w:fldCharType="end"/>
            </w:r>
          </w:p>
        </w:tc>
        <w:tc>
          <w:tcPr>
            <w:tcW w:w="169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在建工程</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3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③</w:t>
            </w:r>
            <w:r>
              <w:rPr>
                <w:rFonts w:ascii="Times New Roman"/>
                <w:b/>
                <w:bCs/>
                <w:snapToGrid w:val="0"/>
                <w:color w:val="auto"/>
                <w:spacing w:val="-6"/>
                <w:kern w:val="21"/>
                <w:szCs w:val="21"/>
                <w:lang w:val="en-US" w:eastAsia="zh-CN"/>
              </w:rPr>
              <w:fldChar w:fldCharType="end"/>
            </w:r>
          </w:p>
        </w:tc>
        <w:tc>
          <w:tcPr>
            <w:tcW w:w="151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本项目排放量（固体废物产生量）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4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④</w:t>
            </w:r>
            <w:r>
              <w:rPr>
                <w:rFonts w:ascii="Times New Roman"/>
                <w:b/>
                <w:bCs/>
                <w:snapToGrid w:val="0"/>
                <w:color w:val="auto"/>
                <w:spacing w:val="-6"/>
                <w:kern w:val="21"/>
                <w:szCs w:val="21"/>
                <w:lang w:val="en-US" w:eastAsia="zh-CN"/>
              </w:rPr>
              <w:fldChar w:fldCharType="end"/>
            </w:r>
          </w:p>
        </w:tc>
        <w:tc>
          <w:tcPr>
            <w:tcW w:w="1740"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以新带老削减量</w:t>
            </w:r>
          </w:p>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（新建项目不填）</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5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⑤</w:t>
            </w:r>
            <w:r>
              <w:rPr>
                <w:rFonts w:ascii="Times New Roman"/>
                <w:b/>
                <w:bCs/>
                <w:snapToGrid w:val="0"/>
                <w:color w:val="auto"/>
                <w:spacing w:val="-16"/>
                <w:kern w:val="21"/>
                <w:szCs w:val="21"/>
                <w:lang w:val="en-US" w:eastAsia="zh-CN"/>
              </w:rPr>
              <w:fldChar w:fldCharType="end"/>
            </w:r>
          </w:p>
        </w:tc>
        <w:tc>
          <w:tcPr>
            <w:tcW w:w="178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本项目建成后</w:t>
            </w:r>
          </w:p>
          <w:p>
            <w:pPr>
              <w:pStyle w:val="31"/>
              <w:spacing w:beforeLines="0" w:afterLines="0" w:line="240" w:lineRule="auto"/>
              <w:ind w:firstLine="0"/>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全厂排放量（固体废物产生量）</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6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⑥</w:t>
            </w:r>
            <w:r>
              <w:rPr>
                <w:rFonts w:ascii="Times New Roman"/>
                <w:b/>
                <w:bCs/>
                <w:snapToGrid w:val="0"/>
                <w:color w:val="auto"/>
                <w:spacing w:val="-16"/>
                <w:kern w:val="21"/>
                <w:szCs w:val="21"/>
                <w:lang w:val="en-US" w:eastAsia="zh-CN"/>
              </w:rPr>
              <w:fldChar w:fldCharType="end"/>
            </w:r>
          </w:p>
        </w:tc>
        <w:tc>
          <w:tcPr>
            <w:tcW w:w="1405" w:type="dxa"/>
            <w:noWrap w:val="0"/>
            <w:tcMar>
              <w:left w:w="28" w:type="dxa"/>
              <w:right w:w="28" w:type="dxa"/>
            </w:tcMar>
            <w:vAlign w:val="center"/>
          </w:tcPr>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变化量</w:t>
            </w:r>
          </w:p>
          <w:p>
            <w:pPr>
              <w:pStyle w:val="31"/>
              <w:spacing w:beforeLines="0" w:afterLines="0" w:line="240" w:lineRule="auto"/>
              <w:ind w:firstLine="0"/>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7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⑦</w:t>
            </w:r>
            <w:r>
              <w:rPr>
                <w:rFonts w:ascii="Times New Roman"/>
                <w:b/>
                <w:bCs/>
                <w:snapToGrid w:val="0"/>
                <w:color w:val="auto"/>
                <w:spacing w:val="-6"/>
                <w:kern w:val="21"/>
                <w:szCs w:val="21"/>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2" w:type="dxa"/>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废气</w:t>
            </w:r>
          </w:p>
        </w:tc>
        <w:tc>
          <w:tcPr>
            <w:tcW w:w="1707" w:type="dxa"/>
            <w:noWrap w:val="0"/>
            <w:vAlign w:val="center"/>
          </w:tcPr>
          <w:p>
            <w:pPr>
              <w:pStyle w:val="31"/>
              <w:spacing w:beforeLines="0" w:afterLines="0" w:line="240" w:lineRule="auto"/>
              <w:ind w:firstLine="0" w:firstLineChars="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颗粒物（</w:t>
            </w:r>
            <w:r>
              <w:rPr>
                <w:rFonts w:ascii="Times New Roman"/>
                <w:snapToGrid w:val="0"/>
                <w:color w:val="auto"/>
                <w:kern w:val="21"/>
                <w:szCs w:val="21"/>
                <w:lang w:val="en-US" w:eastAsia="zh-CN"/>
              </w:rPr>
              <w:t>t/a</w:t>
            </w:r>
            <w:r>
              <w:rPr>
                <w:rFonts w:hint="eastAsia" w:ascii="Times New Roman"/>
                <w:snapToGrid w:val="0"/>
                <w:color w:val="auto"/>
                <w:kern w:val="21"/>
                <w:szCs w:val="21"/>
                <w:lang w:val="en-US" w:eastAsia="zh-CN"/>
              </w:rPr>
              <w:t>）</w:t>
            </w:r>
          </w:p>
        </w:tc>
        <w:tc>
          <w:tcPr>
            <w:tcW w:w="1748" w:type="dxa"/>
            <w:noWrap w:val="0"/>
            <w:vAlign w:val="center"/>
          </w:tcPr>
          <w:p>
            <w:pPr>
              <w:pStyle w:val="31"/>
              <w:spacing w:beforeLines="0" w:afterLines="0" w:line="240" w:lineRule="auto"/>
              <w:ind w:firstLine="0" w:firstLineChars="0"/>
              <w:rPr>
                <w:rFonts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adjustRightInd w:val="0"/>
              <w:snapToGrid w:val="0"/>
              <w:jc w:val="center"/>
              <w:rPr>
                <w:snapToGrid w:val="0"/>
                <w:color w:val="auto"/>
                <w:kern w:val="21"/>
                <w:szCs w:val="21"/>
              </w:rPr>
            </w:pPr>
            <w:r>
              <w:rPr>
                <w:rFonts w:hint="eastAsia"/>
                <w:snapToGrid w:val="0"/>
                <w:color w:val="auto"/>
                <w:kern w:val="21"/>
                <w:szCs w:val="21"/>
              </w:rPr>
              <w:t>/</w:t>
            </w:r>
          </w:p>
        </w:tc>
        <w:tc>
          <w:tcPr>
            <w:tcW w:w="1695" w:type="dxa"/>
            <w:noWrap w:val="0"/>
            <w:vAlign w:val="center"/>
          </w:tcPr>
          <w:p>
            <w:pPr>
              <w:adjustRightInd w:val="0"/>
              <w:snapToGrid w:val="0"/>
              <w:jc w:val="center"/>
              <w:rPr>
                <w:rFonts w:hint="eastAsia" w:ascii="Times New Roman"/>
                <w:snapToGrid w:val="0"/>
                <w:color w:val="auto"/>
                <w:kern w:val="21"/>
                <w:szCs w:val="21"/>
                <w:lang w:val="en-US" w:eastAsia="zh-CN"/>
              </w:rPr>
            </w:pPr>
            <w:r>
              <w:rPr>
                <w:rFonts w:hint="eastAsia"/>
                <w:snapToGrid w:val="0"/>
                <w:color w:val="auto"/>
                <w:kern w:val="21"/>
                <w:szCs w:val="21"/>
              </w:rPr>
              <w:t>/</w:t>
            </w:r>
          </w:p>
        </w:tc>
        <w:tc>
          <w:tcPr>
            <w:tcW w:w="1515" w:type="dxa"/>
            <w:noWrap w:val="0"/>
            <w:vAlign w:val="center"/>
          </w:tcPr>
          <w:p>
            <w:pPr>
              <w:pStyle w:val="31"/>
              <w:spacing w:beforeLines="0" w:afterLines="0" w:line="240" w:lineRule="auto"/>
              <w:ind w:firstLine="0" w:firstLineChars="0"/>
              <w:rPr>
                <w:rFonts w:hint="default" w:ascii="Times New Roman"/>
                <w:color w:val="auto"/>
                <w:szCs w:val="21"/>
                <w:lang w:val="en-US" w:eastAsia="zh-CN"/>
              </w:rPr>
            </w:pPr>
            <w:r>
              <w:rPr>
                <w:rFonts w:hint="eastAsia" w:ascii="Times New Roman"/>
                <w:color w:val="auto"/>
                <w:szCs w:val="21"/>
                <w:lang w:val="en-US" w:eastAsia="zh-CN"/>
              </w:rPr>
              <w:t>0.118</w:t>
            </w:r>
          </w:p>
        </w:tc>
        <w:tc>
          <w:tcPr>
            <w:tcW w:w="1740" w:type="dxa"/>
            <w:noWrap w:val="0"/>
            <w:vAlign w:val="center"/>
          </w:tcPr>
          <w:p>
            <w:pPr>
              <w:pStyle w:val="31"/>
              <w:spacing w:beforeLines="0" w:afterLines="0" w:line="240" w:lineRule="auto"/>
              <w:ind w:firstLine="0" w:firstLineChars="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firstLineChars="0"/>
              <w:rPr>
                <w:rFonts w:hint="default" w:ascii="Times New Roman"/>
                <w:color w:val="auto"/>
                <w:kern w:val="0"/>
                <w:sz w:val="21"/>
                <w:szCs w:val="21"/>
                <w:lang w:val="en-US" w:eastAsia="zh-CN" w:bidi="ar-SA"/>
              </w:rPr>
            </w:pPr>
            <w:r>
              <w:rPr>
                <w:rFonts w:hint="eastAsia" w:ascii="Times New Roman"/>
                <w:color w:val="auto"/>
                <w:szCs w:val="21"/>
                <w:lang w:val="en-US" w:eastAsia="zh-CN"/>
              </w:rPr>
              <w:t>0.118</w:t>
            </w:r>
          </w:p>
        </w:tc>
        <w:tc>
          <w:tcPr>
            <w:tcW w:w="1405" w:type="dxa"/>
            <w:noWrap w:val="0"/>
            <w:vAlign w:val="center"/>
          </w:tcPr>
          <w:p>
            <w:pPr>
              <w:pStyle w:val="31"/>
              <w:spacing w:beforeLines="0" w:afterLines="0" w:line="240" w:lineRule="auto"/>
              <w:ind w:firstLine="0" w:firstLineChars="0"/>
              <w:rPr>
                <w:rFonts w:hint="default" w:ascii="Times New Roman"/>
                <w:color w:val="auto"/>
                <w:szCs w:val="21"/>
                <w:lang w:val="en-US" w:eastAsia="zh-CN"/>
              </w:rPr>
            </w:pPr>
            <w:r>
              <w:rPr>
                <w:rFonts w:hint="eastAsia" w:ascii="Times New Roman"/>
                <w:color w:val="auto"/>
                <w:szCs w:val="21"/>
                <w:lang w:val="en-US" w:eastAsia="zh-CN"/>
              </w:rPr>
              <w:t>+0.118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82" w:type="dxa"/>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废水</w:t>
            </w:r>
          </w:p>
        </w:tc>
        <w:tc>
          <w:tcPr>
            <w:tcW w:w="1707" w:type="dxa"/>
            <w:noWrap w:val="0"/>
            <w:vAlign w:val="center"/>
          </w:tcPr>
          <w:p>
            <w:pPr>
              <w:pStyle w:val="31"/>
              <w:spacing w:beforeLines="0" w:afterLines="0" w:line="240" w:lineRule="auto"/>
              <w:ind w:firstLine="0"/>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生活污水</w:t>
            </w:r>
          </w:p>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水量（m</w:t>
            </w:r>
            <w:r>
              <w:rPr>
                <w:rFonts w:hint="eastAsia" w:ascii="Times New Roman"/>
                <w:snapToGrid w:val="0"/>
                <w:color w:val="auto"/>
                <w:kern w:val="21"/>
                <w:szCs w:val="21"/>
                <w:vertAlign w:val="superscript"/>
                <w:lang w:val="en-US" w:eastAsia="zh-CN"/>
              </w:rPr>
              <w:t>3</w:t>
            </w:r>
            <w:r>
              <w:rPr>
                <w:rFonts w:hint="eastAsia" w:ascii="Times New Roman"/>
                <w:snapToGrid w:val="0"/>
                <w:color w:val="auto"/>
                <w:kern w:val="21"/>
                <w:szCs w:val="21"/>
                <w:lang w:val="en-US" w:eastAsia="zh-CN"/>
              </w:rPr>
              <w:t>/d）</w:t>
            </w:r>
          </w:p>
        </w:tc>
        <w:tc>
          <w:tcPr>
            <w:tcW w:w="1748"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adjustRightInd w:val="0"/>
              <w:snapToGrid w:val="0"/>
              <w:jc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51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snapToGrid w:val="0"/>
                <w:color w:val="auto"/>
                <w:kern w:val="21"/>
                <w:szCs w:val="21"/>
                <w:lang w:val="en-US" w:eastAsia="zh-CN"/>
              </w:rPr>
              <w:t>1.12</w:t>
            </w:r>
          </w:p>
        </w:tc>
        <w:tc>
          <w:tcPr>
            <w:tcW w:w="1740" w:type="dxa"/>
            <w:noWrap w:val="0"/>
            <w:vAlign w:val="center"/>
          </w:tcPr>
          <w:p>
            <w:pPr>
              <w:widowControl/>
              <w:adjustRightInd w:val="0"/>
              <w:snapToGrid w:val="0"/>
              <w:jc w:val="center"/>
              <w:textAlignment w:val="center"/>
              <w:rPr>
                <w:rFonts w:hint="eastAsia" w:eastAsia="宋体"/>
                <w:snapToGrid w:val="0"/>
                <w:color w:val="auto"/>
                <w:kern w:val="21"/>
                <w:szCs w:val="21"/>
                <w:lang w:val="en-US" w:eastAsia="zh-CN"/>
              </w:rPr>
            </w:pPr>
            <w:r>
              <w:rPr>
                <w:rFonts w:hint="eastAsia"/>
                <w:snapToGrid w:val="0"/>
                <w:color w:val="auto"/>
                <w:kern w:val="21"/>
                <w:szCs w:val="21"/>
                <w:lang w:val="en-US" w:eastAsia="zh-CN"/>
              </w:rPr>
              <w:t>/</w:t>
            </w:r>
          </w:p>
        </w:tc>
        <w:tc>
          <w:tcPr>
            <w:tcW w:w="178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snapToGrid w:val="0"/>
                <w:color w:val="auto"/>
                <w:kern w:val="21"/>
                <w:szCs w:val="21"/>
                <w:lang w:val="en-US" w:eastAsia="zh-CN"/>
              </w:rPr>
              <w:t>1.12</w:t>
            </w:r>
          </w:p>
        </w:tc>
        <w:tc>
          <w:tcPr>
            <w:tcW w:w="1405" w:type="dxa"/>
            <w:noWrap w:val="0"/>
            <w:vAlign w:val="center"/>
          </w:tcPr>
          <w:p>
            <w:pPr>
              <w:widowControl/>
              <w:adjustRightInd w:val="0"/>
              <w:snapToGrid w:val="0"/>
              <w:jc w:val="center"/>
              <w:textAlignment w:val="center"/>
              <w:rPr>
                <w:rFonts w:hint="default" w:eastAsia="宋体"/>
                <w:snapToGrid w:val="0"/>
                <w:color w:val="auto"/>
                <w:kern w:val="21"/>
                <w:szCs w:val="21"/>
                <w:lang w:val="en-US" w:eastAsia="zh-CN"/>
              </w:rPr>
            </w:pPr>
            <w:r>
              <w:rPr>
                <w:rFonts w:hint="eastAsia" w:eastAsia="宋体"/>
                <w:snapToGrid w:val="0"/>
                <w:color w:val="auto"/>
                <w:kern w:val="21"/>
                <w:szCs w:val="21"/>
                <w:lang w:val="en-US" w:eastAsia="zh-CN"/>
              </w:rPr>
              <w:t>+</w:t>
            </w:r>
            <w:r>
              <w:rPr>
                <w:rFonts w:hint="eastAsia"/>
                <w:snapToGrid w:val="0"/>
                <w:color w:val="auto"/>
                <w:kern w:val="21"/>
                <w:szCs w:val="21"/>
                <w:lang w:val="en-US" w:eastAsia="zh-CN"/>
              </w:rPr>
              <w:t>1.12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82" w:type="dxa"/>
            <w:vMerge w:val="restart"/>
            <w:noWrap w:val="0"/>
            <w:vAlign w:val="center"/>
          </w:tcPr>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一般工业</w:t>
            </w:r>
          </w:p>
          <w:p>
            <w:pPr>
              <w:pStyle w:val="31"/>
              <w:spacing w:beforeLines="0" w:afterLines="0" w:line="240" w:lineRule="auto"/>
              <w:ind w:firstLine="0"/>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固体废物</w:t>
            </w:r>
          </w:p>
        </w:tc>
        <w:tc>
          <w:tcPr>
            <w:tcW w:w="1707"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废石料（t/a）</w:t>
            </w:r>
          </w:p>
        </w:tc>
        <w:tc>
          <w:tcPr>
            <w:tcW w:w="1748" w:type="dxa"/>
            <w:noWrap w:val="0"/>
            <w:vAlign w:val="center"/>
          </w:tcPr>
          <w:p>
            <w:pPr>
              <w:spacing w:beforeLines="0" w:afterLines="0" w:line="240" w:lineRule="auto"/>
              <w:ind w:firstLine="0"/>
              <w:jc w:val="center"/>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adjustRightInd w:val="0"/>
              <w:snapToGrid w:val="0"/>
              <w:jc w:val="center"/>
              <w:rPr>
                <w:snapToGrid w:val="0"/>
                <w:color w:val="auto"/>
                <w:kern w:val="21"/>
                <w:szCs w:val="21"/>
              </w:rPr>
            </w:pPr>
            <w:r>
              <w:rPr>
                <w:rFonts w:hint="eastAsia" w:ascii="Times New Roman"/>
                <w:snapToGrid w:val="0"/>
                <w:color w:val="auto"/>
                <w:kern w:val="21"/>
                <w:szCs w:val="21"/>
                <w:lang w:val="en-US" w:eastAsia="zh-CN"/>
              </w:rPr>
              <w:t>/</w:t>
            </w:r>
          </w:p>
        </w:tc>
        <w:tc>
          <w:tcPr>
            <w:tcW w:w="151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c>
          <w:tcPr>
            <w:tcW w:w="1740" w:type="dxa"/>
            <w:noWrap w:val="0"/>
            <w:vAlign w:val="center"/>
          </w:tcPr>
          <w:p>
            <w:pPr>
              <w:adjustRightInd w:val="0"/>
              <w:snapToGrid w:val="0"/>
              <w:jc w:val="center"/>
              <w:rPr>
                <w:color w:val="auto"/>
                <w:szCs w:val="21"/>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c>
          <w:tcPr>
            <w:tcW w:w="1405" w:type="dxa"/>
            <w:noWrap w:val="0"/>
            <w:vAlign w:val="center"/>
          </w:tcPr>
          <w:p>
            <w:pPr>
              <w:pStyle w:val="31"/>
              <w:spacing w:beforeLines="0" w:afterLines="0" w:line="240" w:lineRule="auto"/>
              <w:ind w:firstLine="0"/>
              <w:rPr>
                <w:rFonts w:hint="default" w:ascii="Times New Roman"/>
                <w:color w:val="auto"/>
                <w:szCs w:val="21"/>
                <w:lang w:val="en-US" w:eastAsia="zh-CN"/>
              </w:rPr>
            </w:pPr>
            <w:r>
              <w:rPr>
                <w:rFonts w:hint="eastAsia" w:ascii="Times New Roman"/>
                <w:color w:val="auto"/>
                <w:szCs w:val="21"/>
                <w:lang w:val="en-US" w:eastAsia="zh-CN"/>
              </w:rPr>
              <w:t>+67.98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82" w:type="dxa"/>
            <w:vMerge w:val="continue"/>
            <w:noWrap w:val="0"/>
            <w:vAlign w:val="center"/>
          </w:tcPr>
          <w:p>
            <w:pPr>
              <w:pStyle w:val="31"/>
              <w:spacing w:beforeLines="0" w:afterLines="0" w:line="240" w:lineRule="auto"/>
              <w:ind w:firstLine="0"/>
              <w:rPr>
                <w:color w:val="auto"/>
              </w:rPr>
            </w:pPr>
          </w:p>
        </w:tc>
        <w:tc>
          <w:tcPr>
            <w:tcW w:w="1707"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生活垃圾（t/a）</w:t>
            </w:r>
          </w:p>
        </w:tc>
        <w:tc>
          <w:tcPr>
            <w:tcW w:w="1748"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196"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695"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51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c>
          <w:tcPr>
            <w:tcW w:w="1740" w:type="dxa"/>
            <w:noWrap w:val="0"/>
            <w:vAlign w:val="center"/>
          </w:tcPr>
          <w:p>
            <w:pPr>
              <w:spacing w:beforeLines="0" w:afterLines="0" w:line="240" w:lineRule="auto"/>
              <w:ind w:firstLine="0"/>
              <w:jc w:val="center"/>
              <w:rPr>
                <w:rFonts w:hint="eastAsia" w:ascii="Times New Roman"/>
                <w:snapToGrid w:val="0"/>
                <w:color w:val="auto"/>
                <w:kern w:val="21"/>
                <w:szCs w:val="21"/>
                <w:lang w:val="en-US" w:eastAsia="zh-CN"/>
              </w:rPr>
            </w:pPr>
            <w:r>
              <w:rPr>
                <w:rFonts w:hint="eastAsia" w:ascii="Times New Roman"/>
                <w:snapToGrid w:val="0"/>
                <w:color w:val="auto"/>
                <w:kern w:val="21"/>
                <w:szCs w:val="21"/>
                <w:lang w:val="en-US" w:eastAsia="zh-CN"/>
              </w:rPr>
              <w:t>/</w:t>
            </w:r>
          </w:p>
        </w:tc>
        <w:tc>
          <w:tcPr>
            <w:tcW w:w="178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c>
          <w:tcPr>
            <w:tcW w:w="1405" w:type="dxa"/>
            <w:noWrap w:val="0"/>
            <w:vAlign w:val="center"/>
          </w:tcPr>
          <w:p>
            <w:pPr>
              <w:pStyle w:val="31"/>
              <w:spacing w:beforeLines="0" w:afterLines="0" w:line="240" w:lineRule="auto"/>
              <w:ind w:firstLine="0"/>
              <w:rPr>
                <w:rFonts w:hint="default" w:ascii="Times New Roman"/>
                <w:snapToGrid w:val="0"/>
                <w:color w:val="auto"/>
                <w:kern w:val="21"/>
                <w:szCs w:val="21"/>
                <w:lang w:val="en-US" w:eastAsia="zh-CN"/>
              </w:rPr>
            </w:pPr>
            <w:r>
              <w:rPr>
                <w:rFonts w:hint="eastAsia" w:ascii="Times New Roman"/>
                <w:snapToGrid w:val="0"/>
                <w:color w:val="auto"/>
                <w:kern w:val="21"/>
                <w:szCs w:val="21"/>
                <w:lang w:val="en-US" w:eastAsia="zh-CN"/>
              </w:rPr>
              <w:t>+0.9</w:t>
            </w:r>
          </w:p>
        </w:tc>
      </w:tr>
    </w:tbl>
    <w:p>
      <w:pPr>
        <w:pStyle w:val="31"/>
        <w:spacing w:before="249" w:beforeLines="80" w:after="31"/>
        <w:ind w:firstLineChars="200"/>
        <w:jc w:val="left"/>
        <w:rPr>
          <w:color w:val="auto"/>
        </w:rPr>
        <w:sectPr>
          <w:footerReference r:id="rId7" w:type="default"/>
          <w:pgSz w:w="16838" w:h="11906" w:orient="landscape"/>
          <w:pgMar w:top="1440" w:right="1080" w:bottom="1440" w:left="1080" w:header="1304" w:footer="1020" w:gutter="0"/>
          <w:pgNumType w:fmt="decimal"/>
          <w:cols w:space="720" w:num="1"/>
          <w:docGrid w:type="lines" w:linePitch="312" w:charSpace="0"/>
        </w:sectPr>
      </w:pPr>
      <w:r>
        <w:rPr>
          <w:rFonts w:ascii="Times New Roman"/>
          <w:snapToGrid w:val="0"/>
          <w:color w:val="auto"/>
          <w:kern w:val="21"/>
          <w:szCs w:val="21"/>
        </w:rPr>
        <w:t>注：</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1 \* GB3 \* MERGEFORMAT </w:instrText>
      </w:r>
      <w:r>
        <w:rPr>
          <w:rFonts w:ascii="Times New Roman"/>
          <w:snapToGrid w:val="0"/>
          <w:color w:val="auto"/>
          <w:spacing w:val="-6"/>
          <w:kern w:val="21"/>
          <w:szCs w:val="21"/>
        </w:rPr>
        <w:fldChar w:fldCharType="separate"/>
      </w:r>
      <w:r>
        <w:rPr>
          <w:rFonts w:ascii="Times New Roman"/>
          <w:color w:val="auto"/>
          <w:szCs w:val="21"/>
        </w:rPr>
        <w:t>①</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3 \* GB3 \* MERGEFORMAT </w:instrText>
      </w:r>
      <w:r>
        <w:rPr>
          <w:rFonts w:ascii="Times New Roman"/>
          <w:snapToGrid w:val="0"/>
          <w:color w:val="auto"/>
          <w:spacing w:val="-6"/>
          <w:kern w:val="21"/>
          <w:szCs w:val="21"/>
        </w:rPr>
        <w:fldChar w:fldCharType="separate"/>
      </w:r>
      <w:r>
        <w:rPr>
          <w:rFonts w:ascii="Times New Roman"/>
          <w:color w:val="auto"/>
          <w:szCs w:val="21"/>
        </w:rPr>
        <w:t>③</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4 \* GB3 \* MERGEFORMAT </w:instrText>
      </w:r>
      <w:r>
        <w:rPr>
          <w:rFonts w:ascii="Times New Roman"/>
          <w:snapToGrid w:val="0"/>
          <w:color w:val="auto"/>
          <w:spacing w:val="-6"/>
          <w:kern w:val="21"/>
          <w:szCs w:val="21"/>
        </w:rPr>
        <w:fldChar w:fldCharType="separate"/>
      </w:r>
      <w:r>
        <w:rPr>
          <w:rFonts w:ascii="Times New Roman"/>
          <w:color w:val="auto"/>
          <w:szCs w:val="21"/>
        </w:rPr>
        <w:t>④</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5 \* GB3 \* MERGEFORMAT </w:instrText>
      </w:r>
      <w:r>
        <w:rPr>
          <w:rFonts w:ascii="Times New Roman"/>
          <w:snapToGrid w:val="0"/>
          <w:color w:val="auto"/>
          <w:spacing w:val="-16"/>
          <w:kern w:val="21"/>
          <w:szCs w:val="21"/>
        </w:rPr>
        <w:fldChar w:fldCharType="separate"/>
      </w:r>
      <w:r>
        <w:rPr>
          <w:rFonts w:ascii="Times New Roman"/>
          <w:color w:val="auto"/>
          <w:szCs w:val="21"/>
        </w:rPr>
        <w:t>⑤</w:t>
      </w:r>
      <w:r>
        <w:rPr>
          <w:rFonts w:ascii="Times New Roman"/>
          <w:snapToGrid w:val="0"/>
          <w:color w:val="auto"/>
          <w:spacing w:val="-16"/>
          <w:kern w:val="21"/>
          <w:szCs w:val="21"/>
        </w:rPr>
        <w:fldChar w:fldCharType="end"/>
      </w:r>
      <w:r>
        <w:rPr>
          <w:rFonts w:ascii="Times New Roman"/>
          <w:snapToGrid w:val="0"/>
          <w:color w:val="auto"/>
          <w:spacing w:val="-16"/>
          <w:kern w:val="21"/>
          <w:szCs w:val="21"/>
        </w:rPr>
        <w:t>；</w:t>
      </w:r>
      <w:r>
        <w:rPr>
          <w:rFonts w:ascii="Times New Roman"/>
          <w:snapToGrid w:val="0"/>
          <w:color w:val="auto"/>
          <w:spacing w:val="-6"/>
          <w:kern w:val="21"/>
          <w:szCs w:val="21"/>
        </w:rPr>
        <w:fldChar w:fldCharType="begin"/>
      </w:r>
      <w:r>
        <w:rPr>
          <w:rFonts w:ascii="Times New Roman"/>
          <w:snapToGrid w:val="0"/>
          <w:color w:val="auto"/>
          <w:spacing w:val="-6"/>
          <w:kern w:val="21"/>
          <w:szCs w:val="21"/>
        </w:rPr>
        <w:instrText xml:space="preserve"> = 7 \* GB3 \* MERGEFORMAT </w:instrText>
      </w:r>
      <w:r>
        <w:rPr>
          <w:rFonts w:ascii="Times New Roman"/>
          <w:snapToGrid w:val="0"/>
          <w:color w:val="auto"/>
          <w:spacing w:val="-6"/>
          <w:kern w:val="21"/>
          <w:szCs w:val="21"/>
        </w:rPr>
        <w:fldChar w:fldCharType="separate"/>
      </w:r>
      <w:r>
        <w:rPr>
          <w:rFonts w:ascii="Times New Roman"/>
          <w:color w:val="auto"/>
          <w:szCs w:val="21"/>
        </w:rPr>
        <w:t>⑦</w:t>
      </w:r>
      <w:r>
        <w:rPr>
          <w:rFonts w:ascii="Times New Roman"/>
          <w:snapToGrid w:val="0"/>
          <w:color w:val="auto"/>
          <w:spacing w:val="-6"/>
          <w:kern w:val="21"/>
          <w:szCs w:val="21"/>
        </w:rPr>
        <w:fldChar w:fldCharType="end"/>
      </w:r>
      <w:r>
        <w:rPr>
          <w:rFonts w:ascii="Times New Roman"/>
          <w:snapToGrid w:val="0"/>
          <w:color w:val="auto"/>
          <w:spacing w:val="-6"/>
          <w:kern w:val="21"/>
          <w:szCs w:val="21"/>
        </w:rPr>
        <w:t>=</w:t>
      </w:r>
      <w:r>
        <w:rPr>
          <w:rFonts w:ascii="Times New Roman"/>
          <w:snapToGrid w:val="0"/>
          <w:color w:val="auto"/>
          <w:spacing w:val="-16"/>
          <w:kern w:val="21"/>
          <w:szCs w:val="21"/>
        </w:rPr>
        <w:fldChar w:fldCharType="begin"/>
      </w:r>
      <w:r>
        <w:rPr>
          <w:rFonts w:ascii="Times New Roman"/>
          <w:snapToGrid w:val="0"/>
          <w:color w:val="auto"/>
          <w:spacing w:val="-16"/>
          <w:kern w:val="21"/>
          <w:szCs w:val="21"/>
        </w:rPr>
        <w:instrText xml:space="preserve"> = 6 \* GB3 \* MERGEFORMAT </w:instrText>
      </w:r>
      <w:r>
        <w:rPr>
          <w:rFonts w:ascii="Times New Roman"/>
          <w:snapToGrid w:val="0"/>
          <w:color w:val="auto"/>
          <w:spacing w:val="-16"/>
          <w:kern w:val="21"/>
          <w:szCs w:val="21"/>
        </w:rPr>
        <w:fldChar w:fldCharType="separate"/>
      </w:r>
      <w:r>
        <w:rPr>
          <w:rFonts w:ascii="Times New Roman"/>
          <w:color w:val="auto"/>
          <w:szCs w:val="21"/>
        </w:rPr>
        <w:t>⑥</w:t>
      </w:r>
      <w:r>
        <w:rPr>
          <w:rFonts w:ascii="Times New Roman"/>
          <w:snapToGrid w:val="0"/>
          <w:color w:val="auto"/>
          <w:spacing w:val="-16"/>
          <w:kern w:val="21"/>
          <w:szCs w:val="21"/>
        </w:rPr>
        <w:fldChar w:fldCharType="end"/>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bCs/>
          <w:color w:val="auto"/>
          <w:sz w:val="21"/>
          <w:szCs w:val="21"/>
          <w:lang w:val="en-US" w:eastAsia="zh-CN"/>
        </w:rPr>
      </w:pPr>
    </w:p>
    <w:sectPr>
      <w:footerReference r:id="rId8" w:type="default"/>
      <w:pgSz w:w="11906" w:h="16838"/>
      <w:pgMar w:top="1587" w:right="1587" w:bottom="1587"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fldChar w:fldCharType="begin"/>
    </w:r>
    <w:r>
      <w:rPr>
        <w:rStyle w:val="26"/>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jc w:val="both"/>
                            <w:rPr>
                              <w:rStyle w:val="26"/>
                              <w:rFonts w:ascii="宋体" w:hAnsi="宋体"/>
                              <w:sz w:val="21"/>
                              <w:szCs w:val="21"/>
                            </w:rPr>
                          </w:pPr>
                          <w:r>
                            <w:rPr>
                              <w:rStyle w:val="26"/>
                              <w:rFonts w:hint="eastAsia" w:ascii="宋体" w:hAnsi="宋体"/>
                              <w:sz w:val="21"/>
                              <w:szCs w:val="21"/>
                            </w:rPr>
                            <w:t xml:space="preserve">— </w:t>
                          </w:r>
                          <w:r>
                            <w:rPr>
                              <w:rStyle w:val="26"/>
                              <w:sz w:val="21"/>
                              <w:szCs w:val="21"/>
                            </w:rPr>
                            <w:t xml:space="preserve"> </w:t>
                          </w: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31</w:t>
                          </w:r>
                          <w:r>
                            <w:rPr>
                              <w:sz w:val="21"/>
                              <w:szCs w:val="21"/>
                            </w:rPr>
                            <w:fldChar w:fldCharType="end"/>
                          </w:r>
                          <w:r>
                            <w:rPr>
                              <w:rStyle w:val="26"/>
                              <w:rFonts w:hint="eastAsia" w:ascii="宋体" w:hAnsi="宋体"/>
                              <w:sz w:val="21"/>
                              <w:szCs w:val="21"/>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LAWcDdAQAAvgMAAA4AAAAAAAAA&#10;AQAgAAAAHgEAAGRycy9lMm9Eb2MueG1sUEsFBgAAAAAGAAYAWQEAAG0FAAAAAA==&#10;">
              <v:fill on="f" focussize="0,0"/>
              <v:stroke on="f"/>
              <v:imagedata o:title=""/>
              <o:lock v:ext="edit" aspectratio="f"/>
              <v:textbox inset="0mm,0mm,0mm,0mm" style="mso-fit-shape-to-text:t;">
                <w:txbxContent>
                  <w:p>
                    <w:pPr>
                      <w:pStyle w:val="16"/>
                      <w:jc w:val="both"/>
                      <w:rPr>
                        <w:rStyle w:val="26"/>
                        <w:rFonts w:ascii="宋体" w:hAnsi="宋体"/>
                        <w:sz w:val="21"/>
                        <w:szCs w:val="21"/>
                      </w:rPr>
                    </w:pPr>
                    <w:r>
                      <w:rPr>
                        <w:rStyle w:val="26"/>
                        <w:rFonts w:hint="eastAsia" w:ascii="宋体" w:hAnsi="宋体"/>
                        <w:sz w:val="21"/>
                        <w:szCs w:val="21"/>
                      </w:rPr>
                      <w:t xml:space="preserve">— </w:t>
                    </w:r>
                    <w:r>
                      <w:rPr>
                        <w:rStyle w:val="26"/>
                        <w:sz w:val="21"/>
                        <w:szCs w:val="21"/>
                      </w:rPr>
                      <w:t xml:space="preserve"> </w:t>
                    </w:r>
                    <w:r>
                      <w:rPr>
                        <w:sz w:val="21"/>
                        <w:szCs w:val="21"/>
                      </w:rPr>
                      <w:fldChar w:fldCharType="begin"/>
                    </w:r>
                    <w:r>
                      <w:rPr>
                        <w:rStyle w:val="26"/>
                        <w:sz w:val="21"/>
                        <w:szCs w:val="21"/>
                      </w:rPr>
                      <w:instrText xml:space="preserve">PAGE  </w:instrText>
                    </w:r>
                    <w:r>
                      <w:rPr>
                        <w:sz w:val="21"/>
                        <w:szCs w:val="21"/>
                      </w:rPr>
                      <w:fldChar w:fldCharType="separate"/>
                    </w:r>
                    <w:r>
                      <w:rPr>
                        <w:rStyle w:val="26"/>
                        <w:sz w:val="21"/>
                        <w:szCs w:val="21"/>
                      </w:rPr>
                      <w:t>31</w:t>
                    </w:r>
                    <w:r>
                      <w:rPr>
                        <w:sz w:val="21"/>
                        <w:szCs w:val="21"/>
                      </w:rPr>
                      <w:fldChar w:fldCharType="end"/>
                    </w:r>
                    <w:r>
                      <w:rPr>
                        <w:rStyle w:val="26"/>
                        <w:rFonts w:hint="eastAsia" w:ascii="宋体" w:hAnsi="宋体"/>
                        <w:sz w:val="21"/>
                        <w:szCs w:val="21"/>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PXkrPdAQAAvgMAAA4AAAAAAAAA&#10;AQAgAAAAHgEAAGRycy9lMm9Eb2MueG1sUEsFBgAAAAAGAAYAWQEAAG0FAAAAAA==&#10;">
              <v:fill on="f" focussize="0,0"/>
              <v:stroke on="f"/>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mvU6w3gEAAL8DAAAOAAAAAAAA&#10;AAEAIAAAAB4BAABkcnMvZTJvRG9jLnhtbFBLBQYAAAAABgAGAFkBAABuBQAAAAA=&#10;">
              <v:fill on="f" focussize="0,0"/>
              <v:stroke on="f"/>
              <v:imagedata o:title=""/>
              <o:lock v:ext="edit" aspectratio="f"/>
              <v:textbox inset="0mm,0mm,0mm,0mm" style="mso-fit-shape-to-text:t;">
                <w:txbxContent>
                  <w:p>
                    <w:pPr>
                      <w:pStyle w:val="16"/>
                      <w:rPr>
                        <w:rStyle w:val="26"/>
                        <w:rFonts w:ascii="宋体" w:hAnsi="宋体"/>
                        <w:sz w:val="28"/>
                        <w:szCs w:val="28"/>
                      </w:rPr>
                    </w:pPr>
                    <w:r>
                      <w:rPr>
                        <w:rStyle w:val="26"/>
                        <w:rFonts w:hint="eastAsia" w:ascii="宋体" w:hAnsi="宋体"/>
                        <w:sz w:val="28"/>
                        <w:szCs w:val="28"/>
                      </w:rPr>
                      <w:t>—</w:t>
                    </w:r>
                    <w:r>
                      <w:rPr>
                        <w:rStyle w:val="26"/>
                        <w:rFonts w:hint="eastAsia" w:ascii="宋体" w:hAnsi="宋体"/>
                        <w:sz w:val="20"/>
                      </w:rPr>
                      <w:t xml:space="preserve">  </w:t>
                    </w:r>
                    <w:r>
                      <w:rPr>
                        <w:rFonts w:ascii="宋体" w:hAnsi="宋体"/>
                        <w:sz w:val="26"/>
                        <w:szCs w:val="26"/>
                      </w:rPr>
                      <w:fldChar w:fldCharType="begin"/>
                    </w:r>
                    <w:r>
                      <w:rPr>
                        <w:rStyle w:val="26"/>
                        <w:rFonts w:ascii="宋体" w:hAnsi="宋体"/>
                        <w:sz w:val="26"/>
                        <w:szCs w:val="26"/>
                      </w:rPr>
                      <w:instrText xml:space="preserve">PAGE  </w:instrText>
                    </w:r>
                    <w:r>
                      <w:rPr>
                        <w:rFonts w:ascii="宋体" w:hAnsi="宋体"/>
                        <w:sz w:val="26"/>
                        <w:szCs w:val="26"/>
                      </w:rPr>
                      <w:fldChar w:fldCharType="separate"/>
                    </w:r>
                    <w:r>
                      <w:rPr>
                        <w:rStyle w:val="26"/>
                        <w:rFonts w:ascii="宋体" w:hAnsi="宋体"/>
                        <w:sz w:val="26"/>
                        <w:szCs w:val="26"/>
                      </w:rPr>
                      <w:t>34</w:t>
                    </w:r>
                    <w:r>
                      <w:rPr>
                        <w:rFonts w:ascii="宋体" w:hAnsi="宋体"/>
                        <w:sz w:val="26"/>
                        <w:szCs w:val="26"/>
                      </w:rPr>
                      <w:fldChar w:fldCharType="end"/>
                    </w:r>
                    <w:r>
                      <w:rPr>
                        <w:rStyle w:val="26"/>
                        <w:rFonts w:hint="eastAsia" w:ascii="宋体" w:hAnsi="宋体"/>
                        <w:sz w:val="20"/>
                      </w:rPr>
                      <w:t xml:space="preserve">  </w:t>
                    </w:r>
                    <w:r>
                      <w:rPr>
                        <w:rStyle w:val="26"/>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D9F72"/>
    <w:multiLevelType w:val="singleLevel"/>
    <w:tmpl w:val="8B6D9F72"/>
    <w:lvl w:ilvl="0" w:tentative="0">
      <w:start w:val="1"/>
      <w:numFmt w:val="decimal"/>
      <w:suff w:val="nothing"/>
      <w:lvlText w:val="%1、"/>
      <w:lvlJc w:val="left"/>
      <w:rPr>
        <w:rFonts w:hint="default"/>
        <w:b/>
        <w:bCs/>
      </w:rPr>
    </w:lvl>
  </w:abstractNum>
  <w:abstractNum w:abstractNumId="1">
    <w:nsid w:val="B5EF8B5C"/>
    <w:multiLevelType w:val="singleLevel"/>
    <w:tmpl w:val="B5EF8B5C"/>
    <w:lvl w:ilvl="0" w:tentative="0">
      <w:start w:val="2"/>
      <w:numFmt w:val="decimal"/>
      <w:suff w:val="nothing"/>
      <w:lvlText w:val="%1、"/>
      <w:lvlJc w:val="left"/>
    </w:lvl>
  </w:abstractNum>
  <w:abstractNum w:abstractNumId="2">
    <w:nsid w:val="C71A35BE"/>
    <w:multiLevelType w:val="singleLevel"/>
    <w:tmpl w:val="C71A35BE"/>
    <w:lvl w:ilvl="0" w:tentative="0">
      <w:start w:val="1"/>
      <w:numFmt w:val="decimal"/>
      <w:suff w:val="nothing"/>
      <w:lvlText w:val="（%1）"/>
      <w:lvlJc w:val="left"/>
    </w:lvl>
  </w:abstractNum>
  <w:abstractNum w:abstractNumId="3">
    <w:nsid w:val="CE5D2256"/>
    <w:multiLevelType w:val="singleLevel"/>
    <w:tmpl w:val="CE5D2256"/>
    <w:lvl w:ilvl="0" w:tentative="0">
      <w:start w:val="1"/>
      <w:numFmt w:val="decimal"/>
      <w:suff w:val="nothing"/>
      <w:lvlText w:val="（%1）"/>
      <w:lvlJc w:val="left"/>
    </w:lvl>
  </w:abstractNum>
  <w:abstractNum w:abstractNumId="4">
    <w:nsid w:val="D133B500"/>
    <w:multiLevelType w:val="singleLevel"/>
    <w:tmpl w:val="D133B500"/>
    <w:lvl w:ilvl="0" w:tentative="0">
      <w:start w:val="1"/>
      <w:numFmt w:val="chineseCounting"/>
      <w:suff w:val="nothing"/>
      <w:lvlText w:val="%1、"/>
      <w:lvlJc w:val="left"/>
      <w:rPr>
        <w:rFonts w:hint="eastAsia"/>
        <w:b/>
        <w:bCs/>
      </w:rPr>
    </w:lvl>
  </w:abstractNum>
  <w:abstractNum w:abstractNumId="5">
    <w:nsid w:val="ECE3793C"/>
    <w:multiLevelType w:val="singleLevel"/>
    <w:tmpl w:val="ECE3793C"/>
    <w:lvl w:ilvl="0" w:tentative="0">
      <w:start w:val="1"/>
      <w:numFmt w:val="decimal"/>
      <w:suff w:val="nothing"/>
      <w:lvlText w:val="%1、"/>
      <w:lvlJc w:val="left"/>
    </w:lvl>
  </w:abstractNum>
  <w:abstractNum w:abstractNumId="6">
    <w:nsid w:val="F2FD316D"/>
    <w:multiLevelType w:val="singleLevel"/>
    <w:tmpl w:val="F2FD316D"/>
    <w:lvl w:ilvl="0" w:tentative="0">
      <w:start w:val="1"/>
      <w:numFmt w:val="decimal"/>
      <w:suff w:val="nothing"/>
      <w:lvlText w:val="%1、"/>
      <w:lvlJc w:val="left"/>
    </w:lvl>
  </w:abstractNum>
  <w:abstractNum w:abstractNumId="7">
    <w:nsid w:val="167A9907"/>
    <w:multiLevelType w:val="singleLevel"/>
    <w:tmpl w:val="167A9907"/>
    <w:lvl w:ilvl="0" w:tentative="0">
      <w:start w:val="1"/>
      <w:numFmt w:val="decimal"/>
      <w:suff w:val="nothing"/>
      <w:lvlText w:val="（%1）"/>
      <w:lvlJc w:val="left"/>
    </w:lvl>
  </w:abstractNum>
  <w:abstractNum w:abstractNumId="8">
    <w:nsid w:val="1BC830CE"/>
    <w:multiLevelType w:val="singleLevel"/>
    <w:tmpl w:val="1BC830CE"/>
    <w:lvl w:ilvl="0" w:tentative="0">
      <w:start w:val="1"/>
      <w:numFmt w:val="decimal"/>
      <w:suff w:val="nothing"/>
      <w:lvlText w:val="（%1）"/>
      <w:lvlJc w:val="left"/>
    </w:lvl>
  </w:abstractNum>
  <w:abstractNum w:abstractNumId="9">
    <w:nsid w:val="1DEEC495"/>
    <w:multiLevelType w:val="singleLevel"/>
    <w:tmpl w:val="1DEEC495"/>
    <w:lvl w:ilvl="0" w:tentative="0">
      <w:start w:val="1"/>
      <w:numFmt w:val="decimal"/>
      <w:suff w:val="nothing"/>
      <w:lvlText w:val="%1、"/>
      <w:lvlJc w:val="left"/>
    </w:lvl>
  </w:abstractNum>
  <w:abstractNum w:abstractNumId="10">
    <w:nsid w:val="4E4F0B45"/>
    <w:multiLevelType w:val="singleLevel"/>
    <w:tmpl w:val="4E4F0B45"/>
    <w:lvl w:ilvl="0" w:tentative="0">
      <w:start w:val="2"/>
      <w:numFmt w:val="decimal"/>
      <w:suff w:val="nothing"/>
      <w:lvlText w:val="（%1）"/>
      <w:lvlJc w:val="left"/>
    </w:lvl>
  </w:abstractNum>
  <w:num w:numId="1">
    <w:abstractNumId w:val="10"/>
  </w:num>
  <w:num w:numId="2">
    <w:abstractNumId w:val="0"/>
  </w:num>
  <w:num w:numId="3">
    <w:abstractNumId w:val="8"/>
  </w:num>
  <w:num w:numId="4">
    <w:abstractNumId w:val="5"/>
  </w:num>
  <w:num w:numId="5">
    <w:abstractNumId w:val="3"/>
  </w:num>
  <w:num w:numId="6">
    <w:abstractNumId w:val="7"/>
  </w:num>
  <w:num w:numId="7">
    <w:abstractNumId w:val="9"/>
  </w:num>
  <w:num w:numId="8">
    <w:abstractNumId w:val="4"/>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172A27"/>
    <w:rsid w:val="000B6281"/>
    <w:rsid w:val="00535ED7"/>
    <w:rsid w:val="006A02CD"/>
    <w:rsid w:val="006D2A98"/>
    <w:rsid w:val="00843175"/>
    <w:rsid w:val="008745B2"/>
    <w:rsid w:val="009A360F"/>
    <w:rsid w:val="00B47A19"/>
    <w:rsid w:val="00BA4D39"/>
    <w:rsid w:val="00BC209E"/>
    <w:rsid w:val="00BC57CD"/>
    <w:rsid w:val="00FF56BA"/>
    <w:rsid w:val="011136EA"/>
    <w:rsid w:val="01432A53"/>
    <w:rsid w:val="016A78FD"/>
    <w:rsid w:val="02084A49"/>
    <w:rsid w:val="02145195"/>
    <w:rsid w:val="022E22C9"/>
    <w:rsid w:val="02754146"/>
    <w:rsid w:val="02C62369"/>
    <w:rsid w:val="02DF57A3"/>
    <w:rsid w:val="03237688"/>
    <w:rsid w:val="033013AF"/>
    <w:rsid w:val="035A2C4F"/>
    <w:rsid w:val="037E7460"/>
    <w:rsid w:val="03AD7315"/>
    <w:rsid w:val="04536263"/>
    <w:rsid w:val="049738FA"/>
    <w:rsid w:val="051866F6"/>
    <w:rsid w:val="0534048E"/>
    <w:rsid w:val="054E7068"/>
    <w:rsid w:val="059277AC"/>
    <w:rsid w:val="059712AC"/>
    <w:rsid w:val="05C13E91"/>
    <w:rsid w:val="05CF0BD3"/>
    <w:rsid w:val="0607573C"/>
    <w:rsid w:val="06142634"/>
    <w:rsid w:val="06882EAD"/>
    <w:rsid w:val="069E791A"/>
    <w:rsid w:val="06D2060C"/>
    <w:rsid w:val="06D976A1"/>
    <w:rsid w:val="06E0372B"/>
    <w:rsid w:val="06F35CC1"/>
    <w:rsid w:val="07703AF0"/>
    <w:rsid w:val="07897BE4"/>
    <w:rsid w:val="07B4136A"/>
    <w:rsid w:val="07C50B67"/>
    <w:rsid w:val="07E66D6A"/>
    <w:rsid w:val="07F85CB5"/>
    <w:rsid w:val="080229E4"/>
    <w:rsid w:val="081401B7"/>
    <w:rsid w:val="08144D37"/>
    <w:rsid w:val="08221FB8"/>
    <w:rsid w:val="085D0DC9"/>
    <w:rsid w:val="087C41AE"/>
    <w:rsid w:val="08987A83"/>
    <w:rsid w:val="08DD1BB3"/>
    <w:rsid w:val="0901569E"/>
    <w:rsid w:val="090603F8"/>
    <w:rsid w:val="093C2121"/>
    <w:rsid w:val="093C56FD"/>
    <w:rsid w:val="093D6DEA"/>
    <w:rsid w:val="095C188C"/>
    <w:rsid w:val="095E38C5"/>
    <w:rsid w:val="09A521FC"/>
    <w:rsid w:val="09F04DB6"/>
    <w:rsid w:val="0A475102"/>
    <w:rsid w:val="0A646C4C"/>
    <w:rsid w:val="0B185CF6"/>
    <w:rsid w:val="0B2823DD"/>
    <w:rsid w:val="0B3C3447"/>
    <w:rsid w:val="0C057EC4"/>
    <w:rsid w:val="0C5114BF"/>
    <w:rsid w:val="0C6642D6"/>
    <w:rsid w:val="0C864064"/>
    <w:rsid w:val="0CA267B8"/>
    <w:rsid w:val="0D081076"/>
    <w:rsid w:val="0D197B03"/>
    <w:rsid w:val="0D1A6EA2"/>
    <w:rsid w:val="0D371FAE"/>
    <w:rsid w:val="0D4B5661"/>
    <w:rsid w:val="0D5D49D6"/>
    <w:rsid w:val="0DA15ED0"/>
    <w:rsid w:val="0DA57DAF"/>
    <w:rsid w:val="0DF13B36"/>
    <w:rsid w:val="0E2A0612"/>
    <w:rsid w:val="0E8211A4"/>
    <w:rsid w:val="0EA22D36"/>
    <w:rsid w:val="0EB23C00"/>
    <w:rsid w:val="0EC96337"/>
    <w:rsid w:val="0EDA3549"/>
    <w:rsid w:val="0EE54141"/>
    <w:rsid w:val="0EEF4A2F"/>
    <w:rsid w:val="0F046C64"/>
    <w:rsid w:val="0F1022AD"/>
    <w:rsid w:val="0F8C046B"/>
    <w:rsid w:val="0FA6264D"/>
    <w:rsid w:val="100C1D4F"/>
    <w:rsid w:val="10AF2585"/>
    <w:rsid w:val="10CB62A1"/>
    <w:rsid w:val="10FE2D4B"/>
    <w:rsid w:val="11286567"/>
    <w:rsid w:val="11340EF0"/>
    <w:rsid w:val="114060EA"/>
    <w:rsid w:val="1158509E"/>
    <w:rsid w:val="115B06EA"/>
    <w:rsid w:val="11787636"/>
    <w:rsid w:val="118F156F"/>
    <w:rsid w:val="118F7CA5"/>
    <w:rsid w:val="11B17552"/>
    <w:rsid w:val="11CA487D"/>
    <w:rsid w:val="11CA5199"/>
    <w:rsid w:val="11CB54E8"/>
    <w:rsid w:val="11F24C29"/>
    <w:rsid w:val="11F7261E"/>
    <w:rsid w:val="12236E9E"/>
    <w:rsid w:val="122A14A2"/>
    <w:rsid w:val="12483733"/>
    <w:rsid w:val="125E2627"/>
    <w:rsid w:val="12A003F1"/>
    <w:rsid w:val="12CD5AFC"/>
    <w:rsid w:val="12D83D41"/>
    <w:rsid w:val="1300269F"/>
    <w:rsid w:val="132C2260"/>
    <w:rsid w:val="138B5993"/>
    <w:rsid w:val="14157276"/>
    <w:rsid w:val="141E3827"/>
    <w:rsid w:val="144D4C62"/>
    <w:rsid w:val="14CA41D4"/>
    <w:rsid w:val="15497A4C"/>
    <w:rsid w:val="155B4CE9"/>
    <w:rsid w:val="158F2621"/>
    <w:rsid w:val="15B231EF"/>
    <w:rsid w:val="15BD5E17"/>
    <w:rsid w:val="15D750C6"/>
    <w:rsid w:val="161D4FEB"/>
    <w:rsid w:val="163F7085"/>
    <w:rsid w:val="16522353"/>
    <w:rsid w:val="16883445"/>
    <w:rsid w:val="171C0D51"/>
    <w:rsid w:val="17A8719E"/>
    <w:rsid w:val="17F57F70"/>
    <w:rsid w:val="182E7D1F"/>
    <w:rsid w:val="18333A1E"/>
    <w:rsid w:val="183B1275"/>
    <w:rsid w:val="18AC0AC9"/>
    <w:rsid w:val="19100375"/>
    <w:rsid w:val="19193BF7"/>
    <w:rsid w:val="191968D0"/>
    <w:rsid w:val="194927FE"/>
    <w:rsid w:val="19527414"/>
    <w:rsid w:val="19564584"/>
    <w:rsid w:val="195E54F8"/>
    <w:rsid w:val="19AC0CB4"/>
    <w:rsid w:val="19AF75C3"/>
    <w:rsid w:val="19C91A98"/>
    <w:rsid w:val="1A011840"/>
    <w:rsid w:val="1A0F29BA"/>
    <w:rsid w:val="1A4C7C03"/>
    <w:rsid w:val="1A89276C"/>
    <w:rsid w:val="1BA535D6"/>
    <w:rsid w:val="1BAE20D0"/>
    <w:rsid w:val="1C0F69C2"/>
    <w:rsid w:val="1C493F61"/>
    <w:rsid w:val="1C9122A7"/>
    <w:rsid w:val="1CA67605"/>
    <w:rsid w:val="1CEA33EA"/>
    <w:rsid w:val="1D47530C"/>
    <w:rsid w:val="1D4E37F9"/>
    <w:rsid w:val="1D5D0FFF"/>
    <w:rsid w:val="1D7C1EFF"/>
    <w:rsid w:val="1D7F18A0"/>
    <w:rsid w:val="1DE27A34"/>
    <w:rsid w:val="1E000204"/>
    <w:rsid w:val="1E107ADD"/>
    <w:rsid w:val="1EAF7D54"/>
    <w:rsid w:val="1EB23704"/>
    <w:rsid w:val="1EF71344"/>
    <w:rsid w:val="1F6E53CE"/>
    <w:rsid w:val="1F916EFA"/>
    <w:rsid w:val="1FB95466"/>
    <w:rsid w:val="205479C0"/>
    <w:rsid w:val="205D3A77"/>
    <w:rsid w:val="20684BD2"/>
    <w:rsid w:val="20903A0F"/>
    <w:rsid w:val="20DC2AA9"/>
    <w:rsid w:val="20FF510D"/>
    <w:rsid w:val="210174D5"/>
    <w:rsid w:val="210B4696"/>
    <w:rsid w:val="2125389E"/>
    <w:rsid w:val="21537C7F"/>
    <w:rsid w:val="218579D6"/>
    <w:rsid w:val="21A053CB"/>
    <w:rsid w:val="21B4116F"/>
    <w:rsid w:val="21E16C45"/>
    <w:rsid w:val="21E32CB1"/>
    <w:rsid w:val="21FD645A"/>
    <w:rsid w:val="223B434C"/>
    <w:rsid w:val="22DE1344"/>
    <w:rsid w:val="22E84E0E"/>
    <w:rsid w:val="230609BD"/>
    <w:rsid w:val="235B7BA7"/>
    <w:rsid w:val="239F3B54"/>
    <w:rsid w:val="23CA7C2F"/>
    <w:rsid w:val="23D90B53"/>
    <w:rsid w:val="23EC5BBE"/>
    <w:rsid w:val="24085FF8"/>
    <w:rsid w:val="241A7654"/>
    <w:rsid w:val="241F4129"/>
    <w:rsid w:val="247C5407"/>
    <w:rsid w:val="24843A84"/>
    <w:rsid w:val="24AB32DF"/>
    <w:rsid w:val="24E011DB"/>
    <w:rsid w:val="253F58E7"/>
    <w:rsid w:val="25743246"/>
    <w:rsid w:val="257D3EC7"/>
    <w:rsid w:val="260E26DC"/>
    <w:rsid w:val="26E70C53"/>
    <w:rsid w:val="2709306D"/>
    <w:rsid w:val="2714160F"/>
    <w:rsid w:val="27205B15"/>
    <w:rsid w:val="275E34DA"/>
    <w:rsid w:val="27725D6F"/>
    <w:rsid w:val="279544FE"/>
    <w:rsid w:val="279D1CD9"/>
    <w:rsid w:val="279D3215"/>
    <w:rsid w:val="280451E0"/>
    <w:rsid w:val="28235979"/>
    <w:rsid w:val="283F6204"/>
    <w:rsid w:val="285A33D7"/>
    <w:rsid w:val="286C08B6"/>
    <w:rsid w:val="28792521"/>
    <w:rsid w:val="287E4F92"/>
    <w:rsid w:val="288B1869"/>
    <w:rsid w:val="28A65B6C"/>
    <w:rsid w:val="28B66E1A"/>
    <w:rsid w:val="28B7285C"/>
    <w:rsid w:val="28C72DDD"/>
    <w:rsid w:val="299406F2"/>
    <w:rsid w:val="299627B0"/>
    <w:rsid w:val="29A84583"/>
    <w:rsid w:val="29DD3275"/>
    <w:rsid w:val="2A107C73"/>
    <w:rsid w:val="2A242A96"/>
    <w:rsid w:val="2A32562B"/>
    <w:rsid w:val="2A776437"/>
    <w:rsid w:val="2A9D794E"/>
    <w:rsid w:val="2A9F56A0"/>
    <w:rsid w:val="2AB73855"/>
    <w:rsid w:val="2AC412D1"/>
    <w:rsid w:val="2B5C7036"/>
    <w:rsid w:val="2BE20D5E"/>
    <w:rsid w:val="2BE23904"/>
    <w:rsid w:val="2BE8246A"/>
    <w:rsid w:val="2C5104F2"/>
    <w:rsid w:val="2C872639"/>
    <w:rsid w:val="2C8C39F6"/>
    <w:rsid w:val="2C92401F"/>
    <w:rsid w:val="2D011FAC"/>
    <w:rsid w:val="2D9B65E7"/>
    <w:rsid w:val="2DA72349"/>
    <w:rsid w:val="2DC122E1"/>
    <w:rsid w:val="2E113FA9"/>
    <w:rsid w:val="2E121F49"/>
    <w:rsid w:val="2E170CB0"/>
    <w:rsid w:val="2E1F572E"/>
    <w:rsid w:val="2E2F6D2F"/>
    <w:rsid w:val="2ED34F37"/>
    <w:rsid w:val="2EFC3748"/>
    <w:rsid w:val="2F1C42A3"/>
    <w:rsid w:val="2F37085D"/>
    <w:rsid w:val="2F421B5B"/>
    <w:rsid w:val="2F561C30"/>
    <w:rsid w:val="2F6B0188"/>
    <w:rsid w:val="2FA572A9"/>
    <w:rsid w:val="2FBC4D4D"/>
    <w:rsid w:val="2FF517B4"/>
    <w:rsid w:val="30192860"/>
    <w:rsid w:val="30234671"/>
    <w:rsid w:val="3029612C"/>
    <w:rsid w:val="30302262"/>
    <w:rsid w:val="30496D38"/>
    <w:rsid w:val="305B6683"/>
    <w:rsid w:val="310D3D57"/>
    <w:rsid w:val="31D4446A"/>
    <w:rsid w:val="3251196A"/>
    <w:rsid w:val="32525D5D"/>
    <w:rsid w:val="32601BAD"/>
    <w:rsid w:val="32991967"/>
    <w:rsid w:val="33226E62"/>
    <w:rsid w:val="33563502"/>
    <w:rsid w:val="338C236E"/>
    <w:rsid w:val="33A02EF0"/>
    <w:rsid w:val="33A72236"/>
    <w:rsid w:val="34240476"/>
    <w:rsid w:val="342918C3"/>
    <w:rsid w:val="344D5D0D"/>
    <w:rsid w:val="34763C83"/>
    <w:rsid w:val="349E1CAA"/>
    <w:rsid w:val="34BF0E0C"/>
    <w:rsid w:val="34D219AF"/>
    <w:rsid w:val="34D85D40"/>
    <w:rsid w:val="35301A76"/>
    <w:rsid w:val="353F2306"/>
    <w:rsid w:val="35457D22"/>
    <w:rsid w:val="355A28E3"/>
    <w:rsid w:val="356E1C14"/>
    <w:rsid w:val="35916532"/>
    <w:rsid w:val="35E53A69"/>
    <w:rsid w:val="35EC254E"/>
    <w:rsid w:val="360D5BA8"/>
    <w:rsid w:val="36226C5B"/>
    <w:rsid w:val="36595D22"/>
    <w:rsid w:val="369562F3"/>
    <w:rsid w:val="36F823B4"/>
    <w:rsid w:val="37392302"/>
    <w:rsid w:val="3753756E"/>
    <w:rsid w:val="376E70A4"/>
    <w:rsid w:val="379245B6"/>
    <w:rsid w:val="37B962A2"/>
    <w:rsid w:val="37BE4787"/>
    <w:rsid w:val="38465F6E"/>
    <w:rsid w:val="38561A88"/>
    <w:rsid w:val="385E6B8E"/>
    <w:rsid w:val="38726701"/>
    <w:rsid w:val="38986974"/>
    <w:rsid w:val="38A90AA1"/>
    <w:rsid w:val="38C552F2"/>
    <w:rsid w:val="38DC64B8"/>
    <w:rsid w:val="390A100B"/>
    <w:rsid w:val="393943BB"/>
    <w:rsid w:val="39842625"/>
    <w:rsid w:val="39CB349D"/>
    <w:rsid w:val="3A231490"/>
    <w:rsid w:val="3A5574C3"/>
    <w:rsid w:val="3A865F28"/>
    <w:rsid w:val="3A891403"/>
    <w:rsid w:val="3A8D4DF0"/>
    <w:rsid w:val="3A8E75D9"/>
    <w:rsid w:val="3A8F47A6"/>
    <w:rsid w:val="3AEC207C"/>
    <w:rsid w:val="3B467DC1"/>
    <w:rsid w:val="3B6E636D"/>
    <w:rsid w:val="3B7772BF"/>
    <w:rsid w:val="3B82673D"/>
    <w:rsid w:val="3BAD3189"/>
    <w:rsid w:val="3BFC7D26"/>
    <w:rsid w:val="3C472531"/>
    <w:rsid w:val="3C926818"/>
    <w:rsid w:val="3CF9394B"/>
    <w:rsid w:val="3D3324AB"/>
    <w:rsid w:val="3D34414A"/>
    <w:rsid w:val="3D356814"/>
    <w:rsid w:val="3D6577DF"/>
    <w:rsid w:val="3D707816"/>
    <w:rsid w:val="3D8E5117"/>
    <w:rsid w:val="3DBF00CF"/>
    <w:rsid w:val="3DD45DDC"/>
    <w:rsid w:val="3E261EFC"/>
    <w:rsid w:val="3E375EB7"/>
    <w:rsid w:val="3E5325C6"/>
    <w:rsid w:val="3E5E5F20"/>
    <w:rsid w:val="3EE76244"/>
    <w:rsid w:val="3F1D3BAA"/>
    <w:rsid w:val="3F5E0C76"/>
    <w:rsid w:val="3F94502A"/>
    <w:rsid w:val="3F973246"/>
    <w:rsid w:val="3F9B2DCE"/>
    <w:rsid w:val="3FF61F46"/>
    <w:rsid w:val="400024F9"/>
    <w:rsid w:val="4011165D"/>
    <w:rsid w:val="40726279"/>
    <w:rsid w:val="40B7779F"/>
    <w:rsid w:val="40BA692C"/>
    <w:rsid w:val="40F804CC"/>
    <w:rsid w:val="40FA4A09"/>
    <w:rsid w:val="41063842"/>
    <w:rsid w:val="412F0F7D"/>
    <w:rsid w:val="41563B29"/>
    <w:rsid w:val="41911D83"/>
    <w:rsid w:val="41EA1EA0"/>
    <w:rsid w:val="42442203"/>
    <w:rsid w:val="426254CD"/>
    <w:rsid w:val="426971DD"/>
    <w:rsid w:val="42707BEA"/>
    <w:rsid w:val="428404DF"/>
    <w:rsid w:val="42D50621"/>
    <w:rsid w:val="42EF7DFF"/>
    <w:rsid w:val="432D09FE"/>
    <w:rsid w:val="436B54A0"/>
    <w:rsid w:val="43764E5A"/>
    <w:rsid w:val="43863194"/>
    <w:rsid w:val="439C5485"/>
    <w:rsid w:val="43AF6D8A"/>
    <w:rsid w:val="43B21688"/>
    <w:rsid w:val="43B458B4"/>
    <w:rsid w:val="43C64F91"/>
    <w:rsid w:val="43D83C99"/>
    <w:rsid w:val="443913AE"/>
    <w:rsid w:val="44696AE3"/>
    <w:rsid w:val="44927CED"/>
    <w:rsid w:val="44D73612"/>
    <w:rsid w:val="44E65F41"/>
    <w:rsid w:val="44F167BC"/>
    <w:rsid w:val="44FA5AB4"/>
    <w:rsid w:val="454172E8"/>
    <w:rsid w:val="45994BA8"/>
    <w:rsid w:val="459A3C5C"/>
    <w:rsid w:val="46126858"/>
    <w:rsid w:val="462F56C6"/>
    <w:rsid w:val="468273E7"/>
    <w:rsid w:val="46AA2C63"/>
    <w:rsid w:val="4703023F"/>
    <w:rsid w:val="47731241"/>
    <w:rsid w:val="47B25935"/>
    <w:rsid w:val="47C929D3"/>
    <w:rsid w:val="47ED4C2E"/>
    <w:rsid w:val="48006E83"/>
    <w:rsid w:val="4844759A"/>
    <w:rsid w:val="484E5937"/>
    <w:rsid w:val="484E5E5B"/>
    <w:rsid w:val="48592B87"/>
    <w:rsid w:val="48966D20"/>
    <w:rsid w:val="48D53D2F"/>
    <w:rsid w:val="48D57861"/>
    <w:rsid w:val="48EF04F5"/>
    <w:rsid w:val="48FD3F73"/>
    <w:rsid w:val="49066C33"/>
    <w:rsid w:val="495125C0"/>
    <w:rsid w:val="49624B8C"/>
    <w:rsid w:val="498452A6"/>
    <w:rsid w:val="4992368D"/>
    <w:rsid w:val="49BF6517"/>
    <w:rsid w:val="4A233794"/>
    <w:rsid w:val="4A8A611D"/>
    <w:rsid w:val="4A906886"/>
    <w:rsid w:val="4AB60164"/>
    <w:rsid w:val="4AB915D4"/>
    <w:rsid w:val="4ADC5DBC"/>
    <w:rsid w:val="4AE26F44"/>
    <w:rsid w:val="4AF263F9"/>
    <w:rsid w:val="4B261957"/>
    <w:rsid w:val="4B361528"/>
    <w:rsid w:val="4B9A5CD8"/>
    <w:rsid w:val="4C1A71C0"/>
    <w:rsid w:val="4C1E3B3B"/>
    <w:rsid w:val="4C3F770A"/>
    <w:rsid w:val="4C90254F"/>
    <w:rsid w:val="4D231477"/>
    <w:rsid w:val="4D68132F"/>
    <w:rsid w:val="4DD95881"/>
    <w:rsid w:val="4DE85BF1"/>
    <w:rsid w:val="4E165AE9"/>
    <w:rsid w:val="4E4B0A23"/>
    <w:rsid w:val="4E5E669C"/>
    <w:rsid w:val="4EEF1EC7"/>
    <w:rsid w:val="4EFD0A57"/>
    <w:rsid w:val="4F000A03"/>
    <w:rsid w:val="4F4D5FC8"/>
    <w:rsid w:val="4F72024C"/>
    <w:rsid w:val="4FC26F6B"/>
    <w:rsid w:val="4FD7309C"/>
    <w:rsid w:val="50A05479"/>
    <w:rsid w:val="5112118E"/>
    <w:rsid w:val="51185D9D"/>
    <w:rsid w:val="51537640"/>
    <w:rsid w:val="51A72EFC"/>
    <w:rsid w:val="51EA07B0"/>
    <w:rsid w:val="523D4267"/>
    <w:rsid w:val="523F299D"/>
    <w:rsid w:val="52563AD2"/>
    <w:rsid w:val="52A94558"/>
    <w:rsid w:val="52D0202D"/>
    <w:rsid w:val="52EF6159"/>
    <w:rsid w:val="52F82B96"/>
    <w:rsid w:val="53A4068D"/>
    <w:rsid w:val="53E7795C"/>
    <w:rsid w:val="543B1530"/>
    <w:rsid w:val="545F7032"/>
    <w:rsid w:val="54751FDF"/>
    <w:rsid w:val="54866880"/>
    <w:rsid w:val="55032DA2"/>
    <w:rsid w:val="55BE5255"/>
    <w:rsid w:val="55C7060C"/>
    <w:rsid w:val="55FD758F"/>
    <w:rsid w:val="560D161F"/>
    <w:rsid w:val="56116B96"/>
    <w:rsid w:val="564B20A8"/>
    <w:rsid w:val="566B0E73"/>
    <w:rsid w:val="56A37175"/>
    <w:rsid w:val="56DC73C0"/>
    <w:rsid w:val="56EC58F1"/>
    <w:rsid w:val="56FC7AC4"/>
    <w:rsid w:val="57267199"/>
    <w:rsid w:val="57364EEE"/>
    <w:rsid w:val="57727A42"/>
    <w:rsid w:val="57C40364"/>
    <w:rsid w:val="57D12A81"/>
    <w:rsid w:val="57F03113"/>
    <w:rsid w:val="58153DDD"/>
    <w:rsid w:val="583354EA"/>
    <w:rsid w:val="58607961"/>
    <w:rsid w:val="58632013"/>
    <w:rsid w:val="58A052EE"/>
    <w:rsid w:val="58D138E7"/>
    <w:rsid w:val="59070E63"/>
    <w:rsid w:val="59146152"/>
    <w:rsid w:val="591D38ED"/>
    <w:rsid w:val="597907BB"/>
    <w:rsid w:val="598E57BD"/>
    <w:rsid w:val="5991080B"/>
    <w:rsid w:val="599B528A"/>
    <w:rsid w:val="599F5A86"/>
    <w:rsid w:val="59DD36DB"/>
    <w:rsid w:val="5A3C0FB8"/>
    <w:rsid w:val="5A4A33C9"/>
    <w:rsid w:val="5A6532E5"/>
    <w:rsid w:val="5A6E0454"/>
    <w:rsid w:val="5AC9642C"/>
    <w:rsid w:val="5B174C4F"/>
    <w:rsid w:val="5B397DDD"/>
    <w:rsid w:val="5B482F9A"/>
    <w:rsid w:val="5B654864"/>
    <w:rsid w:val="5B880C09"/>
    <w:rsid w:val="5BB93D58"/>
    <w:rsid w:val="5BC07095"/>
    <w:rsid w:val="5BC55001"/>
    <w:rsid w:val="5C3F37B7"/>
    <w:rsid w:val="5D0011B4"/>
    <w:rsid w:val="5D04461F"/>
    <w:rsid w:val="5D2B6790"/>
    <w:rsid w:val="5D3F6483"/>
    <w:rsid w:val="5D532A69"/>
    <w:rsid w:val="5D72174A"/>
    <w:rsid w:val="5D8026ED"/>
    <w:rsid w:val="5D840CE3"/>
    <w:rsid w:val="5D9D4F1C"/>
    <w:rsid w:val="5DA90924"/>
    <w:rsid w:val="5DB20C5F"/>
    <w:rsid w:val="5E7E5774"/>
    <w:rsid w:val="5EC046BC"/>
    <w:rsid w:val="5ED421C0"/>
    <w:rsid w:val="5F564316"/>
    <w:rsid w:val="5FA82AE6"/>
    <w:rsid w:val="5FAA65A0"/>
    <w:rsid w:val="5FDB59F9"/>
    <w:rsid w:val="5FDC6467"/>
    <w:rsid w:val="60192B7D"/>
    <w:rsid w:val="6035417E"/>
    <w:rsid w:val="605556C0"/>
    <w:rsid w:val="60737D86"/>
    <w:rsid w:val="60806E3B"/>
    <w:rsid w:val="60CA3499"/>
    <w:rsid w:val="60F42B85"/>
    <w:rsid w:val="60F6512F"/>
    <w:rsid w:val="610D2EA9"/>
    <w:rsid w:val="610E7639"/>
    <w:rsid w:val="613D088A"/>
    <w:rsid w:val="618A0755"/>
    <w:rsid w:val="61C80A51"/>
    <w:rsid w:val="61CB3F29"/>
    <w:rsid w:val="61D7235C"/>
    <w:rsid w:val="61F14216"/>
    <w:rsid w:val="620E2DC5"/>
    <w:rsid w:val="621D42E1"/>
    <w:rsid w:val="6249622F"/>
    <w:rsid w:val="627220BB"/>
    <w:rsid w:val="62A63B7B"/>
    <w:rsid w:val="62B81F78"/>
    <w:rsid w:val="62C36CCC"/>
    <w:rsid w:val="62E95123"/>
    <w:rsid w:val="62FA7950"/>
    <w:rsid w:val="63384459"/>
    <w:rsid w:val="63691349"/>
    <w:rsid w:val="637349EC"/>
    <w:rsid w:val="63C2201C"/>
    <w:rsid w:val="64171FAE"/>
    <w:rsid w:val="646B3A0A"/>
    <w:rsid w:val="6495660B"/>
    <w:rsid w:val="64983408"/>
    <w:rsid w:val="64C84559"/>
    <w:rsid w:val="64EB16D3"/>
    <w:rsid w:val="64F47258"/>
    <w:rsid w:val="65223047"/>
    <w:rsid w:val="65476A2F"/>
    <w:rsid w:val="655F347A"/>
    <w:rsid w:val="656960A7"/>
    <w:rsid w:val="656E5DB3"/>
    <w:rsid w:val="65750EF0"/>
    <w:rsid w:val="65803457"/>
    <w:rsid w:val="65846750"/>
    <w:rsid w:val="65966BFC"/>
    <w:rsid w:val="65A84293"/>
    <w:rsid w:val="65D50FE0"/>
    <w:rsid w:val="66125B11"/>
    <w:rsid w:val="662C2D47"/>
    <w:rsid w:val="664E6AF4"/>
    <w:rsid w:val="669668E3"/>
    <w:rsid w:val="669F7DC2"/>
    <w:rsid w:val="66D24C12"/>
    <w:rsid w:val="66D529C2"/>
    <w:rsid w:val="66DA46D0"/>
    <w:rsid w:val="67017401"/>
    <w:rsid w:val="67235885"/>
    <w:rsid w:val="6747626A"/>
    <w:rsid w:val="674F47BC"/>
    <w:rsid w:val="6793436E"/>
    <w:rsid w:val="67B1320D"/>
    <w:rsid w:val="67B802D2"/>
    <w:rsid w:val="67C93D3B"/>
    <w:rsid w:val="68233E6B"/>
    <w:rsid w:val="682F64A8"/>
    <w:rsid w:val="683A6D76"/>
    <w:rsid w:val="684D3B04"/>
    <w:rsid w:val="689A5997"/>
    <w:rsid w:val="68A070E6"/>
    <w:rsid w:val="68BD6578"/>
    <w:rsid w:val="68F55EA4"/>
    <w:rsid w:val="6907678F"/>
    <w:rsid w:val="69205616"/>
    <w:rsid w:val="696E0D0F"/>
    <w:rsid w:val="69803E30"/>
    <w:rsid w:val="69843021"/>
    <w:rsid w:val="69887F4A"/>
    <w:rsid w:val="69DD52B6"/>
    <w:rsid w:val="69E92433"/>
    <w:rsid w:val="6A350C4E"/>
    <w:rsid w:val="6A5D32F8"/>
    <w:rsid w:val="6A7625D7"/>
    <w:rsid w:val="6A883BF2"/>
    <w:rsid w:val="6AC975E8"/>
    <w:rsid w:val="6AEC3747"/>
    <w:rsid w:val="6B0A09B6"/>
    <w:rsid w:val="6B1035EF"/>
    <w:rsid w:val="6B38327E"/>
    <w:rsid w:val="6B447FF8"/>
    <w:rsid w:val="6B6D2F9B"/>
    <w:rsid w:val="6B854548"/>
    <w:rsid w:val="6BA240C1"/>
    <w:rsid w:val="6BF877D4"/>
    <w:rsid w:val="6C07661A"/>
    <w:rsid w:val="6C4569F8"/>
    <w:rsid w:val="6C6450DD"/>
    <w:rsid w:val="6CF26837"/>
    <w:rsid w:val="6D1E3661"/>
    <w:rsid w:val="6D494FEB"/>
    <w:rsid w:val="6DC81078"/>
    <w:rsid w:val="6DF45701"/>
    <w:rsid w:val="6DFC60F3"/>
    <w:rsid w:val="6E0826A6"/>
    <w:rsid w:val="6E9207CE"/>
    <w:rsid w:val="6E99388E"/>
    <w:rsid w:val="6EA6211A"/>
    <w:rsid w:val="6EF70BC7"/>
    <w:rsid w:val="6F24510F"/>
    <w:rsid w:val="6FD97A1B"/>
    <w:rsid w:val="6FEF29EC"/>
    <w:rsid w:val="6FFA4879"/>
    <w:rsid w:val="70127584"/>
    <w:rsid w:val="70307295"/>
    <w:rsid w:val="70375AA4"/>
    <w:rsid w:val="70432DA3"/>
    <w:rsid w:val="70541799"/>
    <w:rsid w:val="707149AA"/>
    <w:rsid w:val="7090731F"/>
    <w:rsid w:val="70A92D35"/>
    <w:rsid w:val="70F80EC1"/>
    <w:rsid w:val="70F97A42"/>
    <w:rsid w:val="71B81AFE"/>
    <w:rsid w:val="71D041A1"/>
    <w:rsid w:val="72055E18"/>
    <w:rsid w:val="721F6602"/>
    <w:rsid w:val="72C139C6"/>
    <w:rsid w:val="72C7270A"/>
    <w:rsid w:val="72E30D9C"/>
    <w:rsid w:val="72E640EC"/>
    <w:rsid w:val="731C3962"/>
    <w:rsid w:val="73205E42"/>
    <w:rsid w:val="73430839"/>
    <w:rsid w:val="73695525"/>
    <w:rsid w:val="739856E8"/>
    <w:rsid w:val="73A929B9"/>
    <w:rsid w:val="73DC7692"/>
    <w:rsid w:val="74341F76"/>
    <w:rsid w:val="744607AD"/>
    <w:rsid w:val="745028EB"/>
    <w:rsid w:val="745148D6"/>
    <w:rsid w:val="745D438C"/>
    <w:rsid w:val="74776F67"/>
    <w:rsid w:val="74B7602D"/>
    <w:rsid w:val="74B90999"/>
    <w:rsid w:val="74F131D6"/>
    <w:rsid w:val="75292908"/>
    <w:rsid w:val="753A35BC"/>
    <w:rsid w:val="754226B0"/>
    <w:rsid w:val="7543257F"/>
    <w:rsid w:val="75464211"/>
    <w:rsid w:val="758F28B6"/>
    <w:rsid w:val="75916E90"/>
    <w:rsid w:val="764E3E47"/>
    <w:rsid w:val="765E646D"/>
    <w:rsid w:val="766E6FAE"/>
    <w:rsid w:val="76746E0D"/>
    <w:rsid w:val="767E684B"/>
    <w:rsid w:val="76896E99"/>
    <w:rsid w:val="76D0242A"/>
    <w:rsid w:val="76F74DB3"/>
    <w:rsid w:val="770E155C"/>
    <w:rsid w:val="77753BEE"/>
    <w:rsid w:val="778A22C8"/>
    <w:rsid w:val="77BD342B"/>
    <w:rsid w:val="77C938B3"/>
    <w:rsid w:val="77E30945"/>
    <w:rsid w:val="787D62A2"/>
    <w:rsid w:val="78A626EC"/>
    <w:rsid w:val="78BF4978"/>
    <w:rsid w:val="79206F6D"/>
    <w:rsid w:val="794B3FEA"/>
    <w:rsid w:val="799742DB"/>
    <w:rsid w:val="7A112B06"/>
    <w:rsid w:val="7A4238DF"/>
    <w:rsid w:val="7A434835"/>
    <w:rsid w:val="7ACE443C"/>
    <w:rsid w:val="7ADD211D"/>
    <w:rsid w:val="7B4A003B"/>
    <w:rsid w:val="7B51340D"/>
    <w:rsid w:val="7B9379CC"/>
    <w:rsid w:val="7BA07EF1"/>
    <w:rsid w:val="7BCC43D1"/>
    <w:rsid w:val="7C2E0ECB"/>
    <w:rsid w:val="7D581E2F"/>
    <w:rsid w:val="7D6A72F2"/>
    <w:rsid w:val="7D9163B8"/>
    <w:rsid w:val="7D9B72E8"/>
    <w:rsid w:val="7DF31C12"/>
    <w:rsid w:val="7E4234E1"/>
    <w:rsid w:val="7E77762F"/>
    <w:rsid w:val="7ED326B8"/>
    <w:rsid w:val="7F1607EC"/>
    <w:rsid w:val="7F26287C"/>
    <w:rsid w:val="7F2B7DEA"/>
    <w:rsid w:val="7F361894"/>
    <w:rsid w:val="7F4F235A"/>
    <w:rsid w:val="7F97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autoRedefine/>
    <w:qFormat/>
    <w:uiPriority w:val="0"/>
    <w:pPr>
      <w:keepNext/>
      <w:keepLines/>
      <w:adjustRightInd w:val="0"/>
      <w:snapToGrid w:val="0"/>
      <w:spacing w:line="240" w:lineRule="auto"/>
      <w:outlineLvl w:val="2"/>
    </w:pPr>
    <w:rPr>
      <w:rFonts w:ascii="Times New Roman" w:hAnsi="Times New Roman" w:eastAsia="宋体"/>
      <w:b/>
      <w:bCs/>
      <w:sz w:val="24"/>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sz w:val="28"/>
      <w:szCs w:val="20"/>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customStyle="1" w:styleId="2">
    <w:name w:val="正文（缩进）"/>
    <w:basedOn w:val="3"/>
    <w:next w:val="1"/>
    <w:autoRedefine/>
    <w:qFormat/>
    <w:uiPriority w:val="99"/>
    <w:pPr>
      <w:spacing w:line="360" w:lineRule="auto"/>
      <w:ind w:firstLine="480" w:firstLineChars="200"/>
    </w:pPr>
    <w:rPr>
      <w:rFonts w:ascii="Times New Roman" w:hAnsi="Times New Roman" w:cs="Times New Roman"/>
      <w:sz w:val="24"/>
      <w:szCs w:val="24"/>
    </w:rPr>
  </w:style>
  <w:style w:type="paragraph" w:customStyle="1" w:styleId="3">
    <w:name w:val="正文(首行缩进)"/>
    <w:basedOn w:val="1"/>
    <w:autoRedefine/>
    <w:qFormat/>
    <w:uiPriority w:val="0"/>
    <w:pPr>
      <w:widowControl/>
      <w:spacing w:line="360" w:lineRule="auto"/>
      <w:jc w:val="left"/>
    </w:pPr>
    <w:rPr>
      <w:rFonts w:ascii="Calibri" w:hAnsi="Calibri" w:cs="Times New Roman"/>
    </w:rPr>
  </w:style>
  <w:style w:type="paragraph" w:styleId="7">
    <w:name w:val="Normal Indent"/>
    <w:basedOn w:val="1"/>
    <w:next w:val="8"/>
    <w:autoRedefine/>
    <w:qFormat/>
    <w:uiPriority w:val="0"/>
    <w:pPr>
      <w:ind w:firstLine="420"/>
    </w:pPr>
    <w:rPr>
      <w:szCs w:val="20"/>
    </w:rPr>
  </w:style>
  <w:style w:type="paragraph" w:customStyle="1" w:styleId="8">
    <w:name w:val="表头"/>
    <w:basedOn w:val="9"/>
    <w:next w:val="1"/>
    <w:autoRedefine/>
    <w:qFormat/>
    <w:locked/>
    <w:uiPriority w:val="0"/>
    <w:pPr>
      <w:spacing w:line="360" w:lineRule="auto"/>
    </w:pPr>
    <w:rPr>
      <w:rFonts w:ascii="宋体" w:hAnsi="Arial" w:eastAsia="Times New Roman" w:cs="Times New Roman"/>
      <w:b/>
      <w:sz w:val="24"/>
      <w:szCs w:val="24"/>
    </w:rPr>
  </w:style>
  <w:style w:type="paragraph" w:styleId="9">
    <w:name w:val="List"/>
    <w:basedOn w:val="1"/>
    <w:autoRedefine/>
    <w:qFormat/>
    <w:uiPriority w:val="0"/>
    <w:pPr>
      <w:spacing w:line="360" w:lineRule="exact"/>
      <w:jc w:val="center"/>
    </w:pPr>
    <w:rPr>
      <w:rFonts w:ascii="宋体"/>
      <w:kern w:val="0"/>
      <w:sz w:val="20"/>
      <w:szCs w:val="20"/>
    </w:rPr>
  </w:style>
  <w:style w:type="paragraph" w:styleId="10">
    <w:name w:val="index 5"/>
    <w:basedOn w:val="1"/>
    <w:next w:val="1"/>
    <w:autoRedefine/>
    <w:qFormat/>
    <w:uiPriority w:val="99"/>
    <w:pPr>
      <w:ind w:left="1680"/>
    </w:pPr>
  </w:style>
  <w:style w:type="paragraph" w:styleId="11">
    <w:name w:val="annotation text"/>
    <w:basedOn w:val="1"/>
    <w:autoRedefine/>
    <w:qFormat/>
    <w:uiPriority w:val="0"/>
    <w:pPr>
      <w:jc w:val="left"/>
    </w:pPr>
  </w:style>
  <w:style w:type="paragraph" w:styleId="1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13">
    <w:name w:val="Body Text Indent"/>
    <w:basedOn w:val="1"/>
    <w:next w:val="10"/>
    <w:autoRedefine/>
    <w:qFormat/>
    <w:uiPriority w:val="0"/>
    <w:pPr>
      <w:spacing w:after="120"/>
      <w:ind w:left="420" w:leftChars="200"/>
    </w:pPr>
    <w:rPr>
      <w:kern w:val="0"/>
      <w:sz w:val="24"/>
      <w:szCs w:val="20"/>
    </w:rPr>
  </w:style>
  <w:style w:type="paragraph" w:styleId="14">
    <w:name w:val="Plain Text"/>
    <w:basedOn w:val="1"/>
    <w:autoRedefine/>
    <w:qFormat/>
    <w:uiPriority w:val="0"/>
    <w:pPr>
      <w:spacing w:line="360" w:lineRule="auto"/>
      <w:ind w:firstLine="600" w:firstLineChars="200"/>
    </w:pPr>
    <w:rPr>
      <w:rFonts w:ascii="宋体" w:hAnsi="Courier New"/>
      <w:kern w:val="0"/>
      <w:sz w:val="24"/>
      <w:szCs w:val="21"/>
    </w:rPr>
  </w:style>
  <w:style w:type="paragraph" w:styleId="15">
    <w:name w:val="Body Text Indent 2"/>
    <w:basedOn w:val="1"/>
    <w:autoRedefine/>
    <w:qFormat/>
    <w:uiPriority w:val="0"/>
    <w:pPr>
      <w:ind w:firstLine="555"/>
      <w:jc w:val="left"/>
    </w:pPr>
    <w:rPr>
      <w:rFonts w:hint="eastAsia"/>
      <w:spacing w:val="20"/>
      <w:kern w:val="0"/>
      <w:sz w:val="20"/>
    </w:rPr>
  </w:style>
  <w:style w:type="paragraph" w:styleId="16">
    <w:name w:val="footer"/>
    <w:basedOn w:val="1"/>
    <w:autoRedefine/>
    <w:qFormat/>
    <w:uiPriority w:val="99"/>
    <w:pPr>
      <w:tabs>
        <w:tab w:val="center" w:pos="4153"/>
        <w:tab w:val="right" w:pos="8306"/>
      </w:tabs>
      <w:snapToGrid w:val="0"/>
      <w:jc w:val="left"/>
    </w:pPr>
    <w:rPr>
      <w:kern w:val="0"/>
      <w:sz w:val="18"/>
      <w:szCs w:val="20"/>
    </w:rPr>
  </w:style>
  <w:style w:type="paragraph" w:styleId="17">
    <w:name w:val="header"/>
    <w:basedOn w:val="1"/>
    <w:next w:val="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Body Text 2"/>
    <w:basedOn w:val="1"/>
    <w:autoRedefine/>
    <w:qFormat/>
    <w:uiPriority w:val="0"/>
    <w:pPr>
      <w:spacing w:after="120" w:line="480" w:lineRule="auto"/>
    </w:pPr>
    <w:rPr>
      <w:rFonts w:ascii="Times New Roman" w:hAnsi="Times New Roman" w:eastAsia="宋体" w:cs="Times New Roman"/>
    </w:rPr>
  </w:style>
  <w:style w:type="paragraph" w:styleId="19">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20">
    <w:name w:val="Body Text First Indent"/>
    <w:basedOn w:val="12"/>
    <w:next w:val="1"/>
    <w:autoRedefine/>
    <w:qFormat/>
    <w:uiPriority w:val="0"/>
    <w:pPr>
      <w:spacing w:after="120"/>
      <w:ind w:firstLine="420" w:firstLineChars="100"/>
    </w:pPr>
    <w:rPr>
      <w:rFonts w:eastAsia="宋体"/>
      <w:sz w:val="21"/>
      <w:szCs w:val="20"/>
    </w:rPr>
  </w:style>
  <w:style w:type="paragraph" w:styleId="21">
    <w:name w:val="Body Text First Indent 2"/>
    <w:basedOn w:val="13"/>
    <w:next w:val="1"/>
    <w:autoRedefine/>
    <w:qFormat/>
    <w:uiPriority w:val="0"/>
    <w:pPr>
      <w:ind w:firstLine="420" w:firstLineChars="200"/>
    </w:pPr>
  </w:style>
  <w:style w:type="table" w:styleId="23">
    <w:name w:val="Table Grid"/>
    <w:basedOn w:val="22"/>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Hyperlink"/>
    <w:basedOn w:val="24"/>
    <w:autoRedefine/>
    <w:qFormat/>
    <w:uiPriority w:val="0"/>
    <w:rPr>
      <w:color w:val="0000FF"/>
      <w:u w:val="single"/>
    </w:rPr>
  </w:style>
  <w:style w:type="character" w:styleId="28">
    <w:name w:val="annotation reference"/>
    <w:autoRedefine/>
    <w:semiHidden/>
    <w:qFormat/>
    <w:uiPriority w:val="0"/>
    <w:rPr>
      <w:sz w:val="21"/>
      <w:szCs w:val="21"/>
    </w:rPr>
  </w:style>
  <w:style w:type="paragraph" w:customStyle="1" w:styleId="29">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30">
    <w:name w:val="正文文本1"/>
    <w:basedOn w:val="1"/>
    <w:autoRedefine/>
    <w:qFormat/>
    <w:uiPriority w:val="0"/>
    <w:pPr>
      <w:shd w:val="clear" w:color="auto" w:fill="FFFFFF"/>
      <w:adjustRightInd/>
      <w:snapToGrid/>
      <w:spacing w:before="360" w:line="466" w:lineRule="exact"/>
      <w:ind w:firstLine="0" w:firstLineChars="0"/>
      <w:jc w:val="distribute"/>
    </w:pPr>
    <w:rPr>
      <w:rFonts w:ascii="MingLiU" w:hAnsi="MingLiU" w:eastAsia="MingLiU" w:cs="MingLiU"/>
      <w:spacing w:val="20"/>
      <w:sz w:val="21"/>
      <w:szCs w:val="21"/>
    </w:rPr>
  </w:style>
  <w:style w:type="paragraph" w:customStyle="1" w:styleId="31">
    <w:name w:val="表格"/>
    <w:basedOn w:val="7"/>
    <w:next w:val="1"/>
    <w:autoRedefine/>
    <w:qFormat/>
    <w:uiPriority w:val="0"/>
    <w:pPr>
      <w:adjustRightInd w:val="0"/>
      <w:snapToGrid w:val="0"/>
      <w:spacing w:beforeLines="10" w:afterLines="10" w:line="259" w:lineRule="auto"/>
      <w:jc w:val="center"/>
    </w:pPr>
    <w:rPr>
      <w:rFonts w:ascii="宋体"/>
      <w:kern w:val="0"/>
    </w:rPr>
  </w:style>
  <w:style w:type="paragraph" w:customStyle="1" w:styleId="32">
    <w:name w:val="报告正文"/>
    <w:basedOn w:val="33"/>
    <w:next w:val="1"/>
    <w:autoRedefine/>
    <w:qFormat/>
    <w:uiPriority w:val="0"/>
    <w:pPr>
      <w:adjustRightInd w:val="0"/>
      <w:snapToGrid w:val="0"/>
      <w:ind w:firstLine="200"/>
    </w:pPr>
    <w:rPr>
      <w:rFonts w:ascii="Times New Roman" w:cs="Times New Roman"/>
    </w:rPr>
  </w:style>
  <w:style w:type="paragraph" w:customStyle="1" w:styleId="33">
    <w:name w:val="环评正文"/>
    <w:basedOn w:val="1"/>
    <w:next w:val="1"/>
    <w:autoRedefine/>
    <w:qFormat/>
    <w:uiPriority w:val="0"/>
    <w:pPr>
      <w:spacing w:line="360" w:lineRule="auto"/>
      <w:ind w:firstLine="480" w:firstLineChars="200"/>
    </w:pPr>
    <w:rPr>
      <w:rFonts w:ascii="仿宋_GB2312" w:hAnsi="仿宋_GB2312" w:eastAsia="仿宋_GB2312"/>
      <w:sz w:val="24"/>
      <w:szCs w:val="20"/>
    </w:rPr>
  </w:style>
  <w:style w:type="paragraph" w:styleId="34">
    <w:name w:val="No Spacing"/>
    <w:autoRedefine/>
    <w:qFormat/>
    <w:uiPriority w:val="0"/>
    <w:pPr>
      <w:widowControl w:val="0"/>
      <w:jc w:val="center"/>
      <w:textAlignment w:val="center"/>
    </w:pPr>
    <w:rPr>
      <w:rFonts w:ascii="Times New Roman" w:hAnsi="Times New Roman" w:eastAsia="宋体" w:cs="Times New Roman"/>
      <w:kern w:val="2"/>
      <w:sz w:val="21"/>
      <w:szCs w:val="22"/>
      <w:lang w:val="en-US" w:eastAsia="zh-CN" w:bidi="ar-SA"/>
    </w:rPr>
  </w:style>
  <w:style w:type="paragraph" w:customStyle="1" w:styleId="35">
    <w:name w:val="表格内容"/>
    <w:basedOn w:val="1"/>
    <w:autoRedefine/>
    <w:qFormat/>
    <w:uiPriority w:val="0"/>
    <w:pPr>
      <w:widowControl/>
      <w:jc w:val="center"/>
    </w:pPr>
    <w:rPr>
      <w:kern w:val="0"/>
      <w:szCs w:val="21"/>
    </w:rPr>
  </w:style>
  <w:style w:type="paragraph" w:customStyle="1" w:styleId="36">
    <w:name w:val="【正文】"/>
    <w:basedOn w:val="1"/>
    <w:next w:val="1"/>
    <w:autoRedefine/>
    <w:qFormat/>
    <w:uiPriority w:val="0"/>
    <w:pPr>
      <w:widowControl w:val="0"/>
      <w:spacing w:line="440" w:lineRule="exact"/>
      <w:ind w:firstLine="544" w:firstLineChars="200"/>
      <w:jc w:val="both"/>
    </w:pPr>
    <w:rPr>
      <w:rFonts w:eastAsia="仿宋"/>
      <w:kern w:val="2"/>
      <w:szCs w:val="20"/>
      <w:lang w:bidi="ar-SA"/>
    </w:rPr>
  </w:style>
  <w:style w:type="character" w:customStyle="1" w:styleId="37">
    <w:name w:val="font71"/>
    <w:autoRedefine/>
    <w:qFormat/>
    <w:uiPriority w:val="0"/>
    <w:rPr>
      <w:rFonts w:hint="default" w:ascii="Times New Roman" w:hAnsi="Times New Roman" w:cs="Times New Roman"/>
      <w:color w:val="000000"/>
      <w:sz w:val="14"/>
      <w:szCs w:val="14"/>
      <w:u w:val="none"/>
    </w:rPr>
  </w:style>
  <w:style w:type="character" w:customStyle="1" w:styleId="38">
    <w:name w:val="font101"/>
    <w:basedOn w:val="24"/>
    <w:autoRedefine/>
    <w:qFormat/>
    <w:uiPriority w:val="0"/>
    <w:rPr>
      <w:rFonts w:hint="default" w:ascii="Times New Roman" w:hAnsi="Times New Roman" w:cs="Times New Roman"/>
      <w:color w:val="000000"/>
      <w:sz w:val="13"/>
      <w:szCs w:val="13"/>
      <w:u w:val="none"/>
    </w:rPr>
  </w:style>
  <w:style w:type="character" w:customStyle="1" w:styleId="39">
    <w:name w:val="font91"/>
    <w:autoRedefine/>
    <w:qFormat/>
    <w:uiPriority w:val="0"/>
    <w:rPr>
      <w:rFonts w:hint="default" w:ascii="Times New Roman" w:hAnsi="Times New Roman" w:cs="Times New Roman"/>
      <w:color w:val="000000"/>
      <w:sz w:val="20"/>
      <w:szCs w:val="20"/>
      <w:u w:val="none"/>
    </w:rPr>
  </w:style>
  <w:style w:type="character" w:customStyle="1" w:styleId="40">
    <w:name w:val="font61"/>
    <w:autoRedefine/>
    <w:qFormat/>
    <w:uiPriority w:val="0"/>
    <w:rPr>
      <w:rFonts w:hint="default" w:ascii="Times New Roman" w:hAnsi="Times New Roman" w:cs="Times New Roman"/>
      <w:color w:val="000000"/>
      <w:sz w:val="21"/>
      <w:szCs w:val="21"/>
      <w:u w:val="none"/>
    </w:rPr>
  </w:style>
  <w:style w:type="paragraph" w:customStyle="1" w:styleId="41">
    <w:name w:val="正文x"/>
    <w:basedOn w:val="1"/>
    <w:autoRedefine/>
    <w:qFormat/>
    <w:uiPriority w:val="0"/>
    <w:pPr>
      <w:framePr w:hSpace="180" w:wrap="around" w:vAnchor="text" w:hAnchor="text" w:xAlign="center" w:y="1"/>
      <w:spacing w:line="360" w:lineRule="auto"/>
      <w:ind w:firstLine="200" w:firstLineChars="200"/>
    </w:pPr>
    <w:rPr>
      <w:rFonts w:ascii="Times New Roman" w:hAnsi="Times New Roman" w:cs="Times New Roman"/>
      <w:kern w:val="0"/>
      <w:sz w:val="24"/>
      <w:szCs w:val="20"/>
    </w:rPr>
  </w:style>
  <w:style w:type="paragraph" w:customStyle="1" w:styleId="42">
    <w:name w:val="Default"/>
    <w:autoRedefine/>
    <w:qFormat/>
    <w:uiPriority w:val="0"/>
    <w:pPr>
      <w:widowControl w:val="0"/>
      <w:autoSpaceDE w:val="0"/>
      <w:autoSpaceDN w:val="0"/>
      <w:jc w:val="center"/>
    </w:pPr>
    <w:rPr>
      <w:rFonts w:ascii="楷体" w:hAnsi="楷体" w:cs="楷体" w:eastAsiaTheme="minorEastAsia"/>
      <w:color w:val="000000"/>
      <w:sz w:val="21"/>
      <w:szCs w:val="24"/>
      <w:lang w:val="en-US" w:eastAsia="zh-CN" w:bidi="ar-SA"/>
    </w:rPr>
  </w:style>
  <w:style w:type="paragraph" w:customStyle="1" w:styleId="43">
    <w:name w:val="表内文字"/>
    <w:basedOn w:val="1"/>
    <w:autoRedefine/>
    <w:qFormat/>
    <w:uiPriority w:val="0"/>
    <w:pPr>
      <w:tabs>
        <w:tab w:val="center" w:pos="4153"/>
        <w:tab w:val="right" w:pos="8306"/>
      </w:tabs>
      <w:snapToGrid w:val="0"/>
      <w:spacing w:line="240" w:lineRule="auto"/>
      <w:ind w:firstLine="0" w:firstLineChars="0"/>
      <w:jc w:val="center"/>
    </w:pPr>
    <w:rPr>
      <w:rFonts w:eastAsia="宋体"/>
      <w:sz w:val="21"/>
      <w:szCs w:val="18"/>
    </w:rPr>
  </w:style>
  <w:style w:type="paragraph" w:customStyle="1" w:styleId="44">
    <w:name w:val="cucd-0"/>
    <w:autoRedefine/>
    <w:qFormat/>
    <w:uiPriority w:val="0"/>
    <w:pPr>
      <w:spacing w:line="360" w:lineRule="auto"/>
      <w:ind w:firstLine="480" w:firstLineChars="200"/>
    </w:pPr>
    <w:rPr>
      <w:rFonts w:ascii="Times New Roman" w:hAnsi="Times New Roman" w:eastAsia="Times New Roman" w:cs="Times New Roman"/>
      <w:kern w:val="2"/>
      <w:sz w:val="24"/>
      <w:szCs w:val="24"/>
      <w:lang w:val="en-US" w:eastAsia="zh-CN" w:bidi="ar-SA"/>
    </w:rPr>
  </w:style>
  <w:style w:type="paragraph" w:customStyle="1" w:styleId="45">
    <w:name w:val="样式1"/>
    <w:basedOn w:val="1"/>
    <w:autoRedefine/>
    <w:qFormat/>
    <w:uiPriority w:val="0"/>
    <w:pPr>
      <w:spacing w:line="360" w:lineRule="auto"/>
      <w:ind w:firstLine="510"/>
    </w:pPr>
    <w:rPr>
      <w:sz w:val="24"/>
      <w:szCs w:val="20"/>
    </w:rPr>
  </w:style>
  <w:style w:type="paragraph" w:customStyle="1" w:styleId="46">
    <w:name w:val="0正文中9.8新"/>
    <w:basedOn w:val="47"/>
    <w:autoRedefine/>
    <w:qFormat/>
    <w:uiPriority w:val="0"/>
    <w:pPr>
      <w:spacing w:line="360" w:lineRule="auto"/>
      <w:ind w:firstLine="200" w:firstLineChars="200"/>
    </w:pPr>
    <w:rPr>
      <w:rFonts w:ascii="宋体" w:hAnsi="宋体" w:eastAsia="仿宋_GB2312"/>
      <w:kern w:val="0"/>
      <w:sz w:val="24"/>
    </w:rPr>
  </w:style>
  <w:style w:type="paragraph" w:customStyle="1" w:styleId="47">
    <w:name w:val="正文中"/>
    <w:basedOn w:val="48"/>
    <w:autoRedefine/>
    <w:unhideWhenUsed/>
    <w:qFormat/>
    <w:uiPriority w:val="99"/>
    <w:pPr>
      <w:spacing w:beforeLines="0" w:afterLines="0"/>
      <w:jc w:val="center"/>
    </w:pPr>
    <w:rPr>
      <w:rFonts w:hint="eastAsia"/>
      <w:sz w:val="28"/>
    </w:rPr>
  </w:style>
  <w:style w:type="paragraph" w:customStyle="1" w:styleId="48">
    <w:name w:val="0正文缩进"/>
    <w:basedOn w:val="7"/>
    <w:autoRedefine/>
    <w:unhideWhenUsed/>
    <w:qFormat/>
    <w:uiPriority w:val="99"/>
    <w:pPr>
      <w:spacing w:beforeLines="0" w:afterLines="0" w:line="480" w:lineRule="exact"/>
      <w:ind w:firstLine="560" w:firstLineChars="200"/>
      <w:jc w:val="left"/>
    </w:pPr>
    <w:rPr>
      <w:rFonts w:hint="eastAsia" w:ascii="宋体" w:hAnsi="宋体" w:eastAsia="Arial Unicode MS"/>
      <w:kern w:val="0"/>
      <w:sz w:val="28"/>
    </w:rPr>
  </w:style>
  <w:style w:type="paragraph" w:customStyle="1" w:styleId="49">
    <w:name w:val="正文1"/>
    <w:basedOn w:val="1"/>
    <w:autoRedefine/>
    <w:qFormat/>
    <w:uiPriority w:val="0"/>
    <w:pPr>
      <w:spacing w:line="360" w:lineRule="auto"/>
      <w:ind w:firstLine="560" w:firstLineChars="200"/>
    </w:pPr>
    <w:rPr>
      <w:rFonts w:ascii="仿宋_GB2312" w:hAnsi="Times New Roman" w:eastAsia="仿宋_GB2312" w:cs="Times New Roman"/>
      <w:sz w:val="28"/>
      <w:szCs w:val="28"/>
    </w:rPr>
  </w:style>
  <w:style w:type="character" w:customStyle="1" w:styleId="50">
    <w:name w:val="环评正文 Char Char"/>
    <w:autoRedefine/>
    <w:qFormat/>
    <w:uiPriority w:val="0"/>
    <w:rPr>
      <w:rFonts w:ascii="Times New Roman" w:hAnsi="Times New Roman" w:eastAsia="仿宋_GB2312" w:cs="宋体"/>
      <w:snapToGrid w:val="0"/>
      <w:spacing w:val="1"/>
      <w:position w:val="-3"/>
      <w:sz w:val="24"/>
      <w:lang w:val="en-US" w:eastAsia="zh-CN" w:bidi="ar-SA"/>
    </w:rPr>
  </w:style>
  <w:style w:type="paragraph" w:customStyle="1" w:styleId="51">
    <w:name w:val="biaoge"/>
    <w:basedOn w:val="14"/>
    <w:next w:val="14"/>
    <w:autoRedefine/>
    <w:qFormat/>
    <w:uiPriority w:val="0"/>
    <w:pPr>
      <w:framePr w:hSpace="180" w:wrap="around" w:vAnchor="text" w:hAnchor="text" w:xAlign="center" w:y="1"/>
      <w:spacing w:line="276" w:lineRule="auto"/>
      <w:ind w:firstLine="0" w:firstLineChars="0"/>
      <w:jc w:val="center"/>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9.wmf"/><Relationship Id="rId26" Type="http://schemas.openxmlformats.org/officeDocument/2006/relationships/oleObject" Target="embeddings/oleObject9.bin"/><Relationship Id="rId25" Type="http://schemas.openxmlformats.org/officeDocument/2006/relationships/image" Target="media/image8.wmf"/><Relationship Id="rId24" Type="http://schemas.openxmlformats.org/officeDocument/2006/relationships/oleObject" Target="embeddings/oleObject8.bin"/><Relationship Id="rId23" Type="http://schemas.openxmlformats.org/officeDocument/2006/relationships/image" Target="media/image7.wmf"/><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emf"/><Relationship Id="rId16" Type="http://schemas.openxmlformats.org/officeDocument/2006/relationships/oleObject" Target="embeddings/oleObject4.bin"/><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25791</Words>
  <Characters>28220</Characters>
  <Lines>0</Lines>
  <Paragraphs>0</Paragraphs>
  <TotalTime>4</TotalTime>
  <ScaleCrop>false</ScaleCrop>
  <LinksUpToDate>false</LinksUpToDate>
  <CharactersWithSpaces>28440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2023-12-11T00:33:00Z</dcterms:created>
  <dc:creator>小花生</dc:creator>
  <cp:lastModifiedBy>鱼儿</cp:lastModifiedBy>
  <dcterms:modified xsi:type="dcterms:W3CDTF">2024-03-14T08:58:38Z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65EE3574D75445FC8725387CB0211F86_11</vt:lpwstr>
  </property>
</Properties>
</file>