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5"/>
        <w:tblpPr w:leftFromText="180" w:rightFromText="180" w:vertAnchor="text" w:horzAnchor="page" w:tblpXSpec="center" w:tblpY="1108"/>
        <w:tblOverlap w:val="never"/>
        <w:tblW w:w="14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
        <w:gridCol w:w="1800"/>
        <w:gridCol w:w="735"/>
        <w:gridCol w:w="990"/>
        <w:gridCol w:w="810"/>
        <w:gridCol w:w="1695"/>
        <w:gridCol w:w="2775"/>
        <w:gridCol w:w="5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479"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bookmarkStart w:id="0" w:name="_GoBack"/>
            <w:bookmarkEnd w:id="0"/>
            <w:r>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序号</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项目名称</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环评类别</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t>建设地点</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建设</w:t>
            </w:r>
            <w:r>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t>单位</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t>环境影响评价机构</w:t>
            </w:r>
          </w:p>
        </w:tc>
        <w:tc>
          <w:tcPr>
            <w:tcW w:w="277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建设项目概况</w:t>
            </w:r>
          </w:p>
        </w:tc>
        <w:tc>
          <w:tcPr>
            <w:tcW w:w="5353"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主要环境影响及预防或</w:t>
            </w:r>
            <w:r>
              <w:rPr>
                <w:rStyle w:val="18"/>
                <w:rFonts w:hint="default" w:ascii="Times New Roman" w:hAnsi="Times New Roman" w:eastAsia="仿宋_GB2312" w:cs="Times New Roman"/>
                <w:b w:val="0"/>
                <w:bCs w:val="0"/>
                <w:color w:val="000000" w:themeColor="text1"/>
                <w:sz w:val="28"/>
                <w:szCs w:val="28"/>
                <w:lang w:eastAsia="zh-CN" w:bidi="ar"/>
                <w14:textFill>
                  <w14:solidFill>
                    <w14:schemeClr w14:val="tx1"/>
                  </w14:solidFill>
                </w14:textFill>
              </w:rPr>
              <w:t>者</w:t>
            </w:r>
            <w:r>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t>减轻不良环境影响的对策和措施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79"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t>1</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沙坡头灌区七星渠灌域续建配套与现代化改造工程2标段—宁夏固海水利建筑安装工程有限公司临时搅拌站项目</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pacing w:val="-17"/>
                <w:sz w:val="28"/>
                <w:szCs w:val="28"/>
                <w14:textFill>
                  <w14:solidFill>
                    <w14:schemeClr w14:val="tx1"/>
                  </w14:solidFill>
                </w14:textFill>
              </w:rPr>
            </w:pPr>
            <w:r>
              <w:rPr>
                <w:rFonts w:hint="default" w:ascii="Times New Roman" w:hAnsi="Times New Roman" w:eastAsia="仿宋_GB2312" w:cs="Times New Roman"/>
                <w:b w:val="0"/>
                <w:bCs w:val="0"/>
                <w:caps/>
                <w:strike w:val="0"/>
                <w:dstrike w:val="0"/>
                <w:color w:val="000000" w:themeColor="text1"/>
                <w:kern w:val="2"/>
                <w:sz w:val="28"/>
                <w:szCs w:val="28"/>
                <w:u w:val="none"/>
                <w:lang w:val="en-US" w:eastAsia="zh-CN" w:bidi="ar-SA"/>
                <w14:textFill>
                  <w14:solidFill>
                    <w14:schemeClr w14:val="tx1"/>
                  </w14:solidFill>
                </w14:textFill>
              </w:rPr>
              <w:t>环境影响报告表</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中卫市沙坡头区永康镇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宁夏固海水利建筑安装工程有限公司</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宁夏回族自治区石油化工环境科学研究院股份有限公司</w:t>
            </w:r>
          </w:p>
        </w:tc>
        <w:tc>
          <w:tcPr>
            <w:tcW w:w="2775" w:type="dxa"/>
            <w:tcBorders>
              <w:top w:val="single" w:color="auto" w:sz="4" w:space="0"/>
              <w:left w:val="single" w:color="auto" w:sz="4" w:space="0"/>
              <w:bottom w:val="single" w:color="auto" w:sz="4" w:space="0"/>
              <w:right w:val="single" w:color="auto" w:sz="4" w:space="0"/>
            </w:tcBorders>
            <w:noWrap w:val="0"/>
            <w:vAlign w:val="top"/>
          </w:tcPr>
          <w:p>
            <w:pPr>
              <w:pStyle w:val="19"/>
              <w:keepNext w:val="0"/>
              <w:keepLines w:val="0"/>
              <w:pageBreakBefore w:val="0"/>
              <w:widowControl w:val="0"/>
              <w:numPr>
                <w:ilvl w:val="0"/>
                <w:numId w:val="0"/>
              </w:numPr>
              <w:kinsoku/>
              <w:wordWrap w:val="0"/>
              <w:overflowPunct/>
              <w:topLinePunct w:val="0"/>
              <w:autoSpaceDE/>
              <w:autoSpaceDN/>
              <w:bidi w:val="0"/>
              <w:adjustRightInd/>
              <w:snapToGrid/>
              <w:spacing w:line="360" w:lineRule="exact"/>
              <w:ind w:firstLine="560" w:firstLineChars="200"/>
              <w:jc w:val="both"/>
              <w:textAlignment w:val="auto"/>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项目建设地址位于中卫市沙坡头区永康镇艾湾村，临时总占地面积为7000平方米。项目为</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b w:val="0"/>
                <w:bCs w:val="0"/>
                <w:color w:val="000000" w:themeColor="text1"/>
                <w:sz w:val="28"/>
                <w:szCs w:val="28"/>
                <w:highlight w:val="none"/>
                <w:lang w:eastAsia="zh-CN"/>
                <w14:textFill>
                  <w14:solidFill>
                    <w14:schemeClr w14:val="tx1"/>
                  </w14:solidFill>
                </w14:textFill>
              </w:rPr>
              <w:t>配套建设的临时工程，运营期为</w:t>
            </w:r>
            <w:r>
              <w:rPr>
                <w:rFonts w:hint="default" w:ascii="Times New Roman" w:hAnsi="Times New Roman" w:eastAsia="仿宋_GB2312" w:cs="Times New Roman"/>
                <w:b w:val="0"/>
                <w:bCs w:val="0"/>
                <w:color w:val="000000" w:themeColor="text1"/>
                <w:sz w:val="28"/>
                <w:szCs w:val="28"/>
                <w:highlight w:val="none"/>
                <w:lang w:val="en-US" w:eastAsia="zh-CN"/>
                <w14:textFill>
                  <w14:solidFill>
                    <w14:schemeClr w14:val="tx1"/>
                  </w14:solidFill>
                </w14:textFill>
              </w:rPr>
              <w:t>2个月，</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项目建设</w:t>
            </w:r>
            <w:r>
              <w:rPr>
                <w:rFonts w:hint="default" w:ascii="Times New Roman" w:hAnsi="Times New Roman" w:eastAsia="仿宋_GB2312" w:cs="Times New Roman"/>
                <w:b w:val="0"/>
                <w:bCs w:val="0"/>
                <w:snapToGrid w:val="0"/>
                <w:color w:val="000000" w:themeColor="text1"/>
                <w:kern w:val="0"/>
                <w:sz w:val="28"/>
                <w:szCs w:val="28"/>
                <w:lang w:val="en-US" w:eastAsia="zh-CN" w:bidi="ar-SA"/>
                <w14:textFill>
                  <w14:solidFill>
                    <w14:schemeClr w14:val="tx1"/>
                  </w14:solidFill>
                </w14:textFill>
              </w:rPr>
              <w:t>2座型号为HZS90的临时混凝土搅拌站</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，每</w:t>
            </w:r>
            <w:r>
              <w:rPr>
                <w:rFonts w:hint="default" w:ascii="Times New Roman" w:hAnsi="Times New Roman" w:eastAsia="仿宋_GB2312" w:cs="Times New Roman"/>
                <w:b w:val="0"/>
                <w:bCs w:val="0"/>
                <w:snapToGrid w:val="0"/>
                <w:color w:val="000000" w:themeColor="text1"/>
                <w:kern w:val="0"/>
                <w:sz w:val="28"/>
                <w:szCs w:val="28"/>
                <w:lang w:val="en-US" w:eastAsia="zh-CN" w:bidi="ar-SA"/>
                <w14:textFill>
                  <w14:solidFill>
                    <w14:schemeClr w14:val="tx1"/>
                  </w14:solidFill>
                </w14:textFill>
              </w:rPr>
              <w:t>座</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搅拌站配套1条临时混凝土生产线，运营周期内共生产混凝土1.5万立方米，为沙坡头灌区七星渠灌域续建配套与现代化改造工程2标段提供施工材料</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，不外售</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主要</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建设原料仓、骨料计量输送系统、粉料供给计量系统、搅拌站主楼及配套的公辅工程和环保工程。项目总投资80万元，其中环保投资为20万元，占总投资的25%。</w:t>
            </w:r>
          </w:p>
        </w:tc>
        <w:tc>
          <w:tcPr>
            <w:tcW w:w="5353" w:type="dxa"/>
            <w:tcBorders>
              <w:top w:val="single" w:color="auto" w:sz="4" w:space="0"/>
              <w:left w:val="single" w:color="auto" w:sz="4" w:space="0"/>
              <w:bottom w:val="single" w:color="auto" w:sz="4" w:space="0"/>
              <w:right w:val="single" w:color="auto" w:sz="4" w:space="0"/>
            </w:tcBorders>
            <w:noWrap w:val="0"/>
            <w:vAlign w:val="top"/>
          </w:tcPr>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（一）大气环境影响减缓措施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控制汽车装载量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并遮盖篷布</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，同时加强日常环境管理，及时洒水降尘</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废气通过骨料中间仓和搅拌机的通气管进入配套的布袋除尘器处理后排放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；搅拌机配套布袋除尘</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；筒仓顶部</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配套脉冲袋式除尘器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，废气处理后经筒仓顶部呼吸孔排放，</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颗粒物排放浓度须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《水泥工业大气污染物排放标准》（GB4915-2013）</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中的</w:t>
            </w:r>
            <w:r>
              <w:rPr>
                <w:rFonts w:hint="default" w:ascii="Times New Roman" w:hAnsi="Times New Roman" w:eastAsia="仿宋_GB2312" w:cs="Times New Roman"/>
                <w:b w:val="0"/>
                <w:bCs w:val="0"/>
                <w:color w:val="000000" w:themeColor="text1"/>
                <w:kern w:val="0"/>
                <w:sz w:val="28"/>
                <w:szCs w:val="28"/>
                <w:lang w:val="en-US" w:eastAsia="zh-CN" w:bidi="ar"/>
                <w14:textFill>
                  <w14:solidFill>
                    <w14:schemeClr w14:val="tx1"/>
                  </w14:solidFill>
                </w14:textFill>
              </w:rPr>
              <w:t>无组织排放监控浓度限值要求。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14:textFill>
                  <w14:solidFill>
                    <w14:schemeClr w14:val="tx1"/>
                  </w14:solidFill>
                </w14:textFill>
              </w:rPr>
              <w:t>（二）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水环境污染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t>车辆冲洗废水</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、搅拌机清洗废水</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经沉淀池沉淀后回用</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于道路洒水降尘。</w:t>
            </w: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生活污水主要为洗漱废水，直接用于施工场地洒水降尘，环保型旱厕粪便堆肥后还田。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（三）</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噪声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设备</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合理布局，选用低噪声设备，</w:t>
            </w:r>
            <w:r>
              <w:rPr>
                <w:rFonts w:hint="default" w:ascii="Times New Roman" w:hAnsi="Times New Roman" w:eastAsia="仿宋_GB2312" w:cs="Times New Roman"/>
                <w:b w:val="0"/>
                <w:bCs w:val="0"/>
                <w:snapToGrid w:val="0"/>
                <w:color w:val="000000" w:themeColor="text1"/>
                <w:kern w:val="0"/>
                <w:sz w:val="28"/>
                <w:szCs w:val="28"/>
                <w:vertAlign w:val="baseline"/>
                <w:lang w:val="en-US" w:eastAsia="zh-CN" w:bidi="ar-SA"/>
                <w14:textFill>
                  <w14:solidFill>
                    <w14:schemeClr w14:val="tx1"/>
                  </w14:solidFill>
                </w14:textFill>
              </w:rPr>
              <w:t>加强设备的日常维修保养，</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采取</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隔声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基础</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振</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等措施，合理规划车辆运输路线，采取限速行驶、禁止鸣笛等综合降噪措施，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厂</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界噪声须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《工业企业厂界环境噪声排放标准》(GB12348-2008)中</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（四）固体废物处置</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除尘装置收集的粉尘及搅拌系统的拌合残渣收集后回用于生产；筛选出的废石料在原料仓暂存，由生产厂家回收；</w:t>
            </w:r>
            <w:r>
              <w:rPr>
                <w:rFonts w:hint="default" w:ascii="Times New Roman" w:hAnsi="Times New Roman" w:eastAsia="仿宋_GB2312" w:cs="Times New Roman"/>
                <w:b w:val="0"/>
                <w:bCs w:val="0"/>
                <w:color w:val="000000" w:themeColor="text1"/>
                <w:kern w:val="2"/>
                <w:sz w:val="28"/>
                <w:szCs w:val="28"/>
                <w:vertAlign w:val="baseline"/>
                <w:lang w:val="en-US" w:eastAsia="zh-CN" w:bidi="ar-SA"/>
                <w14:textFill>
                  <w14:solidFill>
                    <w14:schemeClr w14:val="tx1"/>
                  </w14:solidFill>
                </w14:textFill>
              </w:rPr>
              <w:t>沉淀池废水沉淀后沉渣收集后送至政府指定地点处置；</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生活垃圾集中收集后，及时清运至垃圾中转站由环卫部门处置。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环境管理措施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及生态保护</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加强环境管理</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，做好</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拆除</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混凝土生产线</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和临时建筑物设备</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等相应的生态恢复措施，确保项目区域生态环境逐步得到恢复。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79"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t>2</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沙坡头灌区七星渠灌域续建配套与现代化改造工程7、9标段—宁夏固海水利建筑安装工程有限公司临时搅拌站项目</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pacing w:val="-17"/>
                <w:sz w:val="28"/>
                <w:szCs w:val="28"/>
                <w14:textFill>
                  <w14:solidFill>
                    <w14:schemeClr w14:val="tx1"/>
                  </w14:solidFill>
                </w14:textFill>
              </w:rPr>
            </w:pPr>
            <w:r>
              <w:rPr>
                <w:rFonts w:hint="default" w:ascii="Times New Roman" w:hAnsi="Times New Roman" w:eastAsia="仿宋_GB2312" w:cs="Times New Roman"/>
                <w:b w:val="0"/>
                <w:bCs w:val="0"/>
                <w:caps/>
                <w:strike w:val="0"/>
                <w:dstrike w:val="0"/>
                <w:color w:val="000000" w:themeColor="text1"/>
                <w:kern w:val="2"/>
                <w:sz w:val="28"/>
                <w:szCs w:val="28"/>
                <w:u w:val="none"/>
                <w:lang w:val="en-US" w:eastAsia="zh-CN" w:bidi="ar-SA"/>
                <w14:textFill>
                  <w14:solidFill>
                    <w14:schemeClr w14:val="tx1"/>
                  </w14:solidFill>
                </w14:textFill>
              </w:rPr>
              <w:t>环境影响报告表</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中卫市沙坡头区宣和镇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宁夏固海水利建筑安装工程有限公司</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宁夏回族自治区石油化工环境科学研究院股份有限公司</w:t>
            </w:r>
          </w:p>
        </w:tc>
        <w:tc>
          <w:tcPr>
            <w:tcW w:w="2775" w:type="dxa"/>
            <w:tcBorders>
              <w:top w:val="single" w:color="auto" w:sz="4" w:space="0"/>
              <w:left w:val="single" w:color="auto" w:sz="4" w:space="0"/>
              <w:bottom w:val="single" w:color="auto" w:sz="4" w:space="0"/>
              <w:right w:val="single" w:color="auto" w:sz="4" w:space="0"/>
            </w:tcBorders>
            <w:noWrap w:val="0"/>
            <w:vAlign w:val="top"/>
          </w:tcPr>
          <w:p>
            <w:pPr>
              <w:pStyle w:val="23"/>
              <w:keepNext w:val="0"/>
              <w:keepLines w:val="0"/>
              <w:pageBreakBefore w:val="0"/>
              <w:widowControl w:val="0"/>
              <w:kinsoku/>
              <w:wordWrap/>
              <w:overflowPunct w:val="0"/>
              <w:topLinePunct w:val="0"/>
              <w:autoSpaceDE/>
              <w:autoSpaceDN/>
              <w:bidi w:val="0"/>
              <w:adjustRightInd w:val="0"/>
              <w:snapToGrid w:val="0"/>
              <w:spacing w:line="360" w:lineRule="exact"/>
              <w:ind w:left="0" w:leftChars="0" w:firstLine="560" w:firstLineChars="200"/>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项目建设地址位于中卫市沙坡头区宣和镇三营村，临时总占地面积为14000平方米。项目为</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b w:val="0"/>
                <w:bCs w:val="0"/>
                <w:color w:val="000000" w:themeColor="text1"/>
                <w:sz w:val="28"/>
                <w:szCs w:val="28"/>
                <w:highlight w:val="none"/>
                <w:lang w:eastAsia="zh-CN"/>
                <w14:textFill>
                  <w14:solidFill>
                    <w14:schemeClr w14:val="tx1"/>
                  </w14:solidFill>
                </w14:textFill>
              </w:rPr>
              <w:t>配套建设的临时工程，运营期为</w:t>
            </w:r>
            <w:r>
              <w:rPr>
                <w:rFonts w:hint="default" w:ascii="Times New Roman" w:hAnsi="Times New Roman" w:eastAsia="仿宋_GB2312" w:cs="Times New Roman"/>
                <w:b w:val="0"/>
                <w:bCs w:val="0"/>
                <w:color w:val="000000" w:themeColor="text1"/>
                <w:sz w:val="28"/>
                <w:szCs w:val="28"/>
                <w:highlight w:val="none"/>
                <w:lang w:val="en-US" w:eastAsia="zh-CN"/>
                <w14:textFill>
                  <w14:solidFill>
                    <w14:schemeClr w14:val="tx1"/>
                  </w14:solidFill>
                </w14:textFill>
              </w:rPr>
              <w:t>2个月，</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项目建设3座型号为</w:t>
            </w:r>
            <w:r>
              <w:rPr>
                <w:rFonts w:hint="default" w:ascii="Times New Roman" w:hAnsi="Times New Roman" w:eastAsia="仿宋_GB2312" w:cs="Times New Roman"/>
                <w:b w:val="0"/>
                <w:bCs w:val="0"/>
                <w:snapToGrid w:val="0"/>
                <w:color w:val="000000" w:themeColor="text1"/>
                <w:kern w:val="0"/>
                <w:sz w:val="28"/>
                <w:szCs w:val="28"/>
                <w:lang w:val="en-US" w:eastAsia="zh-CN" w:bidi="ar-SA"/>
                <w14:textFill>
                  <w14:solidFill>
                    <w14:schemeClr w14:val="tx1"/>
                  </w14:solidFill>
                </w14:textFill>
              </w:rPr>
              <w:t>HZS90的临时混凝土</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搅拌站，</w:t>
            </w:r>
            <w:r>
              <w:rPr>
                <w:rFonts w:hint="default" w:ascii="Times New Roman" w:hAnsi="Times New Roman" w:eastAsia="仿宋_GB2312" w:cs="Times New Roman"/>
                <w:b w:val="0"/>
                <w:bCs w:val="0"/>
                <w:snapToGrid w:val="0"/>
                <w:color w:val="000000" w:themeColor="text1"/>
                <w:kern w:val="0"/>
                <w:sz w:val="28"/>
                <w:szCs w:val="28"/>
                <w:lang w:val="en-US" w:eastAsia="zh-CN" w:bidi="ar-SA"/>
                <w14:textFill>
                  <w14:solidFill>
                    <w14:schemeClr w14:val="tx1"/>
                  </w14:solidFill>
                </w14:textFill>
              </w:rPr>
              <w:t>每座搅拌站配套1</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条临时混凝土生产线，运营周期内共生产混凝土3万立方米，为沙坡头灌区七星渠灌域续建配套与现代化改造工程7、9标段提供施工材料</w:t>
            </w:r>
            <w:r>
              <w:rPr>
                <w:rFonts w:hint="eastAsia" w:cs="Times New Roman"/>
                <w:b w:val="0"/>
                <w:bCs w:val="0"/>
                <w:color w:val="000000" w:themeColor="text1"/>
                <w:sz w:val="28"/>
                <w:szCs w:val="28"/>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不外售</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项目</w:t>
            </w:r>
            <w:r>
              <w:rPr>
                <w:rFonts w:hint="default" w:ascii="Times New Roman" w:hAnsi="Times New Roman" w:eastAsia="仿宋_GB2312" w:cs="Times New Roman"/>
                <w:b w:val="0"/>
                <w:bCs w:val="0"/>
                <w:snapToGrid w:val="0"/>
                <w:color w:val="000000" w:themeColor="text1"/>
                <w:kern w:val="0"/>
                <w:sz w:val="28"/>
                <w:szCs w:val="28"/>
                <w:lang w:val="en-US" w:eastAsia="zh-CN"/>
                <w14:textFill>
                  <w14:solidFill>
                    <w14:schemeClr w14:val="tx1"/>
                  </w14:solidFill>
                </w14:textFill>
              </w:rPr>
              <w:t>主要</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建设原料仓、骨料计量输送系统、粉料供给计量系统、搅拌站主楼及配套的公辅工程和环保工程。项目总投资80万元，其中环保投资为19万元，占总投资的23.75%。</w:t>
            </w:r>
          </w:p>
          <w:p>
            <w:pPr>
              <w:pStyle w:val="19"/>
              <w:keepNext w:val="0"/>
              <w:keepLines w:val="0"/>
              <w:pageBreakBefore w:val="0"/>
              <w:widowControl w:val="0"/>
              <w:numPr>
                <w:ilvl w:val="0"/>
                <w:numId w:val="0"/>
              </w:numPr>
              <w:kinsoku/>
              <w:wordWrap w:val="0"/>
              <w:overflowPunct/>
              <w:topLinePunct w:val="0"/>
              <w:autoSpaceDE/>
              <w:autoSpaceDN/>
              <w:bidi w:val="0"/>
              <w:adjustRightInd/>
              <w:snapToGrid/>
              <w:spacing w:line="360" w:lineRule="exact"/>
              <w:ind w:firstLine="560" w:firstLineChars="200"/>
              <w:jc w:val="both"/>
              <w:textAlignment w:val="auto"/>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p>
        </w:tc>
        <w:tc>
          <w:tcPr>
            <w:tcW w:w="5353" w:type="dxa"/>
            <w:tcBorders>
              <w:top w:val="single" w:color="auto" w:sz="4" w:space="0"/>
              <w:left w:val="single" w:color="auto" w:sz="4" w:space="0"/>
              <w:bottom w:val="single" w:color="auto" w:sz="4" w:space="0"/>
              <w:right w:val="single" w:color="auto" w:sz="4" w:space="0"/>
            </w:tcBorders>
            <w:noWrap w:val="0"/>
            <w:vAlign w:val="top"/>
          </w:tcPr>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（一）大气环境影响减缓措施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kern w:val="0"/>
                <w:sz w:val="28"/>
                <w:szCs w:val="28"/>
                <w:lang w:val="en-US" w:eastAsia="zh-CN"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控制汽车装载量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并遮盖篷布</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，同时加强日常环境管理，及时洒水降尘</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废气通过骨料中间仓和搅拌机的通气管进入配套的布袋除尘器处理后排放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；搅拌机配套布袋除尘</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；筒仓顶部</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配套脉冲袋式除尘器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，废气处理后经筒仓顶部呼吸孔排放，</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颗粒物排放浓度须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《水泥工业大气污染物排放标准》（GB4915-2013）</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中的</w:t>
            </w:r>
            <w:r>
              <w:rPr>
                <w:rFonts w:hint="default" w:ascii="Times New Roman" w:hAnsi="Times New Roman" w:eastAsia="仿宋_GB2312" w:cs="Times New Roman"/>
                <w:b w:val="0"/>
                <w:bCs w:val="0"/>
                <w:color w:val="000000" w:themeColor="text1"/>
                <w:kern w:val="0"/>
                <w:sz w:val="28"/>
                <w:szCs w:val="28"/>
                <w:lang w:val="en-US" w:eastAsia="zh-CN" w:bidi="ar"/>
                <w14:textFill>
                  <w14:solidFill>
                    <w14:schemeClr w14:val="tx1"/>
                  </w14:solidFill>
                </w14:textFill>
              </w:rPr>
              <w:t>无组织排放监控浓度限值要求。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14:textFill>
                  <w14:solidFill>
                    <w14:schemeClr w14:val="tx1"/>
                  </w14:solidFill>
                </w14:textFill>
              </w:rPr>
              <w:t>（二）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水环境污染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t>车辆冲洗废水</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、搅拌机清洗废水</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经沉淀池沉淀后回用</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于道路洒水降尘。</w:t>
            </w: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生活污水主要为洗漱废水，直接用于施工场地洒水降尘，环保型旱厕粪便堆肥后还田。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（三）</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噪声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设备</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合理布局，选用低噪声设备，</w:t>
            </w:r>
            <w:r>
              <w:rPr>
                <w:rFonts w:hint="default" w:ascii="Times New Roman" w:hAnsi="Times New Roman" w:eastAsia="仿宋_GB2312" w:cs="Times New Roman"/>
                <w:b w:val="0"/>
                <w:bCs w:val="0"/>
                <w:snapToGrid w:val="0"/>
                <w:color w:val="000000" w:themeColor="text1"/>
                <w:kern w:val="0"/>
                <w:sz w:val="28"/>
                <w:szCs w:val="28"/>
                <w:vertAlign w:val="baseline"/>
                <w:lang w:val="en-US" w:eastAsia="zh-CN" w:bidi="ar-SA"/>
                <w14:textFill>
                  <w14:solidFill>
                    <w14:schemeClr w14:val="tx1"/>
                  </w14:solidFill>
                </w14:textFill>
              </w:rPr>
              <w:t>加强设备的日常维修保养，</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采取</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隔声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基础</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振</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等措施，合理规划车辆运输路线，采取限速行驶、禁止鸣笛等综合降噪措施，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厂</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界噪声须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《工业企业厂界环境噪声排放标准》(GB12348-2008)中</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（四）固体废物处置</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除尘装置收集的粉尘及搅拌系统的拌合残渣收集后回用于生产；筛选出的废石料在原料仓暂存，由生产厂家回收；</w:t>
            </w:r>
            <w:r>
              <w:rPr>
                <w:rFonts w:hint="default" w:ascii="Times New Roman" w:hAnsi="Times New Roman" w:eastAsia="仿宋_GB2312" w:cs="Times New Roman"/>
                <w:b w:val="0"/>
                <w:bCs w:val="0"/>
                <w:color w:val="000000" w:themeColor="text1"/>
                <w:kern w:val="2"/>
                <w:sz w:val="28"/>
                <w:szCs w:val="28"/>
                <w:vertAlign w:val="baseline"/>
                <w:lang w:val="en-US" w:eastAsia="zh-CN" w:bidi="ar-SA"/>
                <w14:textFill>
                  <w14:solidFill>
                    <w14:schemeClr w14:val="tx1"/>
                  </w14:solidFill>
                </w14:textFill>
              </w:rPr>
              <w:t>沉淀池废水沉淀后沉渣收集后送至政府指定地点处置；</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生活垃圾集中收集后，及时清运至垃圾中转站由环卫部门处置。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环境管理措施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及生态保护</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加强环境管理</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，做好</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拆除</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混凝土生产线</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和临时建筑物设备</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等相应的生态恢复措施，确保项目区域生态环境逐步得到恢复。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79"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pPr>
            <w:r>
              <w:rPr>
                <w:rFonts w:hint="eastAsia" w:ascii="Times New Roman" w:hAnsi="Times New Roman" w:eastAsia="仿宋_GB2312" w:cs="Times New Roman"/>
                <w:b w:val="0"/>
                <w:bCs w:val="0"/>
                <w:color w:val="000000" w:themeColor="text1"/>
                <w:sz w:val="28"/>
                <w:szCs w:val="28"/>
                <w:lang w:val="en-US" w:eastAsia="zh-CN" w:bidi="ar"/>
                <w14:textFill>
                  <w14:solidFill>
                    <w14:schemeClr w14:val="tx1"/>
                  </w14:solidFill>
                </w14:textFill>
              </w:rPr>
              <w:t>3</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沙坡头灌区七星渠灌域续建配套与现代化改造工程6标段—银川天地龙工贸有限公司临时搅拌站项目</w:t>
            </w:r>
          </w:p>
        </w:tc>
        <w:tc>
          <w:tcPr>
            <w:tcW w:w="73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pacing w:val="-17"/>
                <w:sz w:val="28"/>
                <w:szCs w:val="28"/>
                <w14:textFill>
                  <w14:solidFill>
                    <w14:schemeClr w14:val="tx1"/>
                  </w14:solidFill>
                </w14:textFill>
              </w:rPr>
            </w:pPr>
            <w:r>
              <w:rPr>
                <w:rFonts w:hint="default" w:ascii="Times New Roman" w:hAnsi="Times New Roman" w:eastAsia="仿宋_GB2312" w:cs="Times New Roman"/>
                <w:b w:val="0"/>
                <w:bCs w:val="0"/>
                <w:caps/>
                <w:strike w:val="0"/>
                <w:dstrike w:val="0"/>
                <w:color w:val="000000" w:themeColor="text1"/>
                <w:kern w:val="2"/>
                <w:sz w:val="28"/>
                <w:szCs w:val="28"/>
                <w:u w:val="none"/>
                <w:lang w:val="en-US" w:eastAsia="zh-CN" w:bidi="ar-SA"/>
                <w14:textFill>
                  <w14:solidFill>
                    <w14:schemeClr w14:val="tx1"/>
                  </w14:solidFill>
                </w14:textFill>
              </w:rPr>
              <w:t>环境影响报告表</w:t>
            </w:r>
          </w:p>
        </w:tc>
        <w:tc>
          <w:tcPr>
            <w:tcW w:w="99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中卫市沙坡头区宣和镇</w:t>
            </w:r>
          </w:p>
        </w:tc>
        <w:tc>
          <w:tcPr>
            <w:tcW w:w="810"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银川天地龙工贸有限公司</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pStyle w:val="14"/>
              <w:keepNext w:val="0"/>
              <w:keepLines w:val="0"/>
              <w:pageBreakBefore w:val="0"/>
              <w:widowControl/>
              <w:kinsoku/>
              <w:wordWrap w:val="0"/>
              <w:overflowPunct/>
              <w:topLinePunct w:val="0"/>
              <w:autoSpaceDE/>
              <w:autoSpaceDN/>
              <w:bidi w:val="0"/>
              <w:adjustRightInd/>
              <w:snapToGrid/>
              <w:spacing w:beforeAutospacing="0" w:afterAutospacing="0" w:line="360" w:lineRule="exact"/>
              <w:jc w:val="center"/>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宁夏回族自治区石油化工环境科学研究院股份有限公司</w:t>
            </w:r>
          </w:p>
        </w:tc>
        <w:tc>
          <w:tcPr>
            <w:tcW w:w="2775" w:type="dxa"/>
            <w:tcBorders>
              <w:top w:val="single" w:color="auto" w:sz="4" w:space="0"/>
              <w:left w:val="single" w:color="auto" w:sz="4" w:space="0"/>
              <w:bottom w:val="single" w:color="auto" w:sz="4" w:space="0"/>
              <w:right w:val="single" w:color="auto" w:sz="4" w:space="0"/>
            </w:tcBorders>
            <w:noWrap w:val="0"/>
            <w:vAlign w:val="top"/>
          </w:tcPr>
          <w:p>
            <w:pPr>
              <w:pStyle w:val="19"/>
              <w:keepNext w:val="0"/>
              <w:keepLines w:val="0"/>
              <w:pageBreakBefore w:val="0"/>
              <w:widowControl w:val="0"/>
              <w:numPr>
                <w:ilvl w:val="0"/>
                <w:numId w:val="0"/>
              </w:numPr>
              <w:kinsoku/>
              <w:wordWrap w:val="0"/>
              <w:overflowPunct/>
              <w:topLinePunct w:val="0"/>
              <w:autoSpaceDE/>
              <w:autoSpaceDN/>
              <w:bidi w:val="0"/>
              <w:adjustRightInd/>
              <w:snapToGrid/>
              <w:spacing w:line="360" w:lineRule="exact"/>
              <w:ind w:firstLine="560" w:firstLineChars="200"/>
              <w:jc w:val="both"/>
              <w:textAlignment w:val="auto"/>
              <w:rPr>
                <w:rStyle w:val="18"/>
                <w:rFonts w:hint="default" w:ascii="Times New Roman" w:hAnsi="Times New Roman" w:eastAsia="仿宋_GB2312" w:cs="Times New Roman"/>
                <w:b w:val="0"/>
                <w:bCs w:val="0"/>
                <w:color w:val="000000" w:themeColor="text1"/>
                <w:sz w:val="28"/>
                <w:szCs w:val="28"/>
                <w:lang w:bidi="ar"/>
                <w14:textFill>
                  <w14:solidFill>
                    <w14:schemeClr w14:val="tx1"/>
                  </w14:solidFill>
                </w14:textFill>
              </w:rPr>
            </w:pP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项目建设地址位于中卫市沙坡头区宣和镇林昌村，临时总占地面积为</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12170</w:t>
            </w: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平方米。项目为</w:t>
            </w:r>
            <w:r>
              <w:rPr>
                <w:rFonts w:hint="default" w:ascii="Times New Roman" w:hAnsi="Times New Roman" w:eastAsia="仿宋_GB2312" w:cs="Times New Roman"/>
                <w:b w:val="0"/>
                <w:bCs w:val="0"/>
                <w:snapToGrid w:val="0"/>
                <w:color w:val="000000" w:themeColor="text1"/>
                <w:kern w:val="0"/>
                <w:sz w:val="28"/>
                <w:szCs w:val="28"/>
                <w:u w:val="none"/>
                <w:lang w:val="en-US" w:eastAsia="zh-CN"/>
                <w14:textFill>
                  <w14:solidFill>
                    <w14:schemeClr w14:val="tx1"/>
                  </w14:solidFill>
                </w14:textFill>
              </w:rPr>
              <w:t>沙坡头灌区七星渠灌域续建配套与现代化改造工程</w:t>
            </w:r>
            <w:r>
              <w:rPr>
                <w:rFonts w:hint="default" w:ascii="Times New Roman" w:hAnsi="Times New Roman" w:eastAsia="仿宋_GB2312" w:cs="Times New Roman"/>
                <w:b w:val="0"/>
                <w:bCs w:val="0"/>
                <w:color w:val="000000" w:themeColor="text1"/>
                <w:sz w:val="28"/>
                <w:szCs w:val="28"/>
                <w:highlight w:val="none"/>
                <w:u w:val="none"/>
                <w:lang w:eastAsia="zh-CN"/>
                <w14:textFill>
                  <w14:solidFill>
                    <w14:schemeClr w14:val="tx1"/>
                  </w14:solidFill>
                </w14:textFill>
              </w:rPr>
              <w:t>配套建设的临时工程，运营期为</w:t>
            </w:r>
            <w:r>
              <w:rPr>
                <w:rFonts w:hint="default" w:ascii="Times New Roman" w:hAnsi="Times New Roman" w:eastAsia="仿宋_GB2312" w:cs="Times New Roman"/>
                <w:b w:val="0"/>
                <w:bCs w:val="0"/>
                <w:color w:val="000000" w:themeColor="text1"/>
                <w:sz w:val="28"/>
                <w:szCs w:val="28"/>
                <w:highlight w:val="none"/>
                <w:u w:val="none"/>
                <w:lang w:val="en-US" w:eastAsia="zh-CN"/>
                <w14:textFill>
                  <w14:solidFill>
                    <w14:schemeClr w14:val="tx1"/>
                  </w14:solidFill>
                </w14:textFill>
              </w:rPr>
              <w:t>8个月，</w:t>
            </w: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建设一条临时混凝土生产线，运营周期内共生产混凝土5万立方米，为沙坡头灌区七星渠灌域续建配套与现代化改造工程6标段提供施工材料</w:t>
            </w:r>
            <w:r>
              <w:rPr>
                <w:rFonts w:hint="eastAsia" w:cs="Times New Roman"/>
                <w:b w:val="0"/>
                <w:bCs w:val="0"/>
                <w:color w:val="000000" w:themeColor="text1"/>
                <w:sz w:val="28"/>
                <w:szCs w:val="28"/>
                <w:lang w:val="en-US" w:eastAsia="zh-CN"/>
                <w14:textFill>
                  <w14:solidFill>
                    <w14:schemeClr w14:val="tx1"/>
                  </w14:solidFill>
                </w14:textFill>
              </w:rPr>
              <w:t>，</w:t>
            </w:r>
            <w:r>
              <w:rPr>
                <w:rFonts w:hint="eastAsia" w:ascii="Times New Roman" w:hAnsi="Times New Roman" w:eastAsia="仿宋_GB2312" w:cs="Times New Roman"/>
                <w:b w:val="0"/>
                <w:bCs w:val="0"/>
                <w:color w:val="000000" w:themeColor="text1"/>
                <w:sz w:val="28"/>
                <w:szCs w:val="28"/>
                <w:lang w:val="en-US" w:eastAsia="zh-CN"/>
                <w14:textFill>
                  <w14:solidFill>
                    <w14:schemeClr w14:val="tx1"/>
                  </w14:solidFill>
                </w14:textFill>
              </w:rPr>
              <w:t>不外售</w:t>
            </w:r>
            <w:r>
              <w:rPr>
                <w:rFonts w:hint="default" w:ascii="Times New Roman" w:hAnsi="Times New Roman" w:eastAsia="仿宋_GB2312" w:cs="Times New Roman"/>
                <w:b w:val="0"/>
                <w:bCs w:val="0"/>
                <w:snapToGrid w:val="0"/>
                <w:color w:val="000000" w:themeColor="text1"/>
                <w:kern w:val="0"/>
                <w:sz w:val="28"/>
                <w:szCs w:val="28"/>
                <w:u w:val="none"/>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项目</w:t>
            </w:r>
            <w:r>
              <w:rPr>
                <w:rFonts w:hint="default" w:ascii="Times New Roman" w:hAnsi="Times New Roman" w:eastAsia="仿宋_GB2312" w:cs="Times New Roman"/>
                <w:b w:val="0"/>
                <w:bCs w:val="0"/>
                <w:snapToGrid w:val="0"/>
                <w:color w:val="000000" w:themeColor="text1"/>
                <w:kern w:val="0"/>
                <w:sz w:val="28"/>
                <w:szCs w:val="28"/>
                <w:u w:val="none"/>
                <w:lang w:val="en-US" w:eastAsia="zh-CN"/>
                <w14:textFill>
                  <w14:solidFill>
                    <w14:schemeClr w14:val="tx1"/>
                  </w14:solidFill>
                </w14:textFill>
              </w:rPr>
              <w:t>主要</w:t>
            </w:r>
            <w:r>
              <w:rPr>
                <w:rFonts w:hint="default" w:ascii="Times New Roman" w:hAnsi="Times New Roman" w:eastAsia="仿宋_GB2312" w:cs="Times New Roman"/>
                <w:b w:val="0"/>
                <w:bCs w:val="0"/>
                <w:color w:val="000000" w:themeColor="text1"/>
                <w:sz w:val="28"/>
                <w:szCs w:val="28"/>
                <w:u w:val="none"/>
                <w:lang w:val="en-US" w:eastAsia="zh-CN"/>
                <w14:textFill>
                  <w14:solidFill>
                    <w14:schemeClr w14:val="tx1"/>
                  </w14:solidFill>
                </w14:textFill>
              </w:rPr>
              <w:t>建设原料仓、骨料计量输送系统、粉料供给计量系统、搅拌站主楼及配套的公辅工程和环保工程。项目总投资150万元，其中环保投资为21</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万元，占总投资的14%。</w:t>
            </w:r>
          </w:p>
        </w:tc>
        <w:tc>
          <w:tcPr>
            <w:tcW w:w="5353" w:type="dxa"/>
            <w:tcBorders>
              <w:top w:val="single" w:color="auto" w:sz="4" w:space="0"/>
              <w:left w:val="single" w:color="auto" w:sz="4" w:space="0"/>
              <w:bottom w:val="single" w:color="auto" w:sz="4" w:space="0"/>
              <w:right w:val="single" w:color="auto" w:sz="4" w:space="0"/>
            </w:tcBorders>
            <w:noWrap w:val="0"/>
            <w:vAlign w:val="top"/>
          </w:tcPr>
          <w:p>
            <w:pPr>
              <w:pStyle w:val="19"/>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（一）大气环境影响减缓措施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物料采取苫布覆盖并定期洒水降尘；厂区门口设置车辆冲洗平台</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控制汽车装载量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并遮盖篷布</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，同时加强日常环境管理，及时洒水降尘</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。配料机顶部设置防静电挡尘帘；原料上料采用密闭输送皮带，</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废气通过骨料中间仓和搅拌机的通气管进入配套的布袋除尘器处理后排放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；搅拌机配套布袋除尘</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废气通过布袋除尘器处理后排放</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；筒仓顶部</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配套脉冲袋式除尘器</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，废气处理后经筒仓顶部呼吸孔排放，</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颗粒物排放浓度须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《水泥工业大气污染物排放标准》（GB4915-2013）</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中的</w:t>
            </w:r>
            <w:r>
              <w:rPr>
                <w:rFonts w:hint="default" w:ascii="Times New Roman" w:hAnsi="Times New Roman" w:eastAsia="仿宋_GB2312" w:cs="Times New Roman"/>
                <w:b w:val="0"/>
                <w:bCs w:val="0"/>
                <w:color w:val="000000" w:themeColor="text1"/>
                <w:kern w:val="0"/>
                <w:sz w:val="28"/>
                <w:szCs w:val="28"/>
                <w:lang w:val="en-US" w:eastAsia="zh-CN" w:bidi="ar"/>
                <w14:textFill>
                  <w14:solidFill>
                    <w14:schemeClr w14:val="tx1"/>
                  </w14:solidFill>
                </w14:textFill>
              </w:rPr>
              <w:t>无组织排放监控浓度限值要求。</w:t>
            </w:r>
            <w:r>
              <w:rPr>
                <w:rFonts w:hint="default" w:ascii="Times New Roman" w:hAnsi="Times New Roman" w:eastAsia="仿宋_GB2312" w:cs="Times New Roman"/>
                <w:b w:val="0"/>
                <w:bCs w:val="0"/>
                <w:color w:val="000000" w:themeColor="text1"/>
                <w:kern w:val="2"/>
                <w:sz w:val="28"/>
                <w:szCs w:val="28"/>
                <w:highlight w:val="none"/>
                <w:lang w:val="en-US" w:eastAsia="zh-CN" w:bidi="ar-SA"/>
                <w14:textFill>
                  <w14:solidFill>
                    <w14:schemeClr w14:val="tx1"/>
                  </w14:solidFill>
                </w14:textFill>
              </w:rPr>
              <w:t>食堂</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餐饮油烟经油烟净化系统处理后通过烟道排放，废气排放浓度须满足《饮食业油烟排放标准》（GB18483-2001）表2标准限值要求。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14:textFill>
                  <w14:solidFill>
                    <w14:schemeClr w14:val="tx1"/>
                  </w14:solidFill>
                </w14:textFill>
              </w:rPr>
              <w:t>（二）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水环境污染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both"/>
              <w:textAlignment w:val="auto"/>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aps/>
                <w:color w:val="000000" w:themeColor="text1"/>
                <w:kern w:val="2"/>
                <w:sz w:val="28"/>
                <w:szCs w:val="28"/>
                <w:lang w:val="en-US" w:eastAsia="zh-CN" w:bidi="ar-SA"/>
                <w14:textFill>
                  <w14:solidFill>
                    <w14:schemeClr w14:val="tx1"/>
                  </w14:solidFill>
                </w14:textFill>
              </w:rPr>
              <w:t>车辆冲洗废水</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、搅拌机清洗废水</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经沉淀池沉淀后回用</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于道路洒水降尘。</w:t>
            </w: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生活污水主要为洗漱废水，直接用于施工场地洒水降尘，环保型旱厕粪便堆肥后还田。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t>（三）</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噪声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污染</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防治措施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设备</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合理布局，选用低噪声设备，</w:t>
            </w:r>
            <w:r>
              <w:rPr>
                <w:rFonts w:hint="default" w:ascii="Times New Roman" w:hAnsi="Times New Roman" w:eastAsia="仿宋_GB2312" w:cs="Times New Roman"/>
                <w:b w:val="0"/>
                <w:bCs w:val="0"/>
                <w:snapToGrid w:val="0"/>
                <w:color w:val="000000" w:themeColor="text1"/>
                <w:kern w:val="0"/>
                <w:sz w:val="28"/>
                <w:szCs w:val="28"/>
                <w:vertAlign w:val="baseline"/>
                <w:lang w:val="en-US" w:eastAsia="zh-CN" w:bidi="ar-SA"/>
                <w14:textFill>
                  <w14:solidFill>
                    <w14:schemeClr w14:val="tx1"/>
                  </w14:solidFill>
                </w14:textFill>
              </w:rPr>
              <w:t>加强设备的日常维修保养，</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采取</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隔声</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基础</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减</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振</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等措施，合理规划车辆运输路线，采取限速行驶、禁止鸣笛等综合降噪措施，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厂</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界噪声须</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满足</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《工业企业厂界环境噪声排放标准》(GB12348-2008)中</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2</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类标准要求。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textAlignment w:val="auto"/>
              <w:rPr>
                <w:rFonts w:hint="default" w:ascii="Times New Roman" w:hAnsi="Times New Roman" w:eastAsia="仿宋_GB2312" w:cs="Times New Roman"/>
                <w:b w:val="0"/>
                <w:bCs w:val="0"/>
                <w:color w:val="000000" w:themeColor="text1"/>
                <w:sz w:val="28"/>
                <w:szCs w:val="28"/>
                <w:lang w:eastAsia="zh-CN" w:bidi="en-US"/>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（四）固体废物处置</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除尘装置收集的粉尘及搅拌系统的拌合残渣收集后回用于生产；筛选出的废石料在原料仓暂存，由生产厂家回收；</w:t>
            </w:r>
            <w:r>
              <w:rPr>
                <w:rFonts w:hint="default" w:ascii="Times New Roman" w:hAnsi="Times New Roman" w:eastAsia="仿宋_GB2312" w:cs="Times New Roman"/>
                <w:b w:val="0"/>
                <w:bCs w:val="0"/>
                <w:color w:val="000000" w:themeColor="text1"/>
                <w:kern w:val="2"/>
                <w:sz w:val="28"/>
                <w:szCs w:val="28"/>
                <w:vertAlign w:val="baseline"/>
                <w:lang w:val="en-US" w:eastAsia="zh-CN" w:bidi="ar-SA"/>
                <w14:textFill>
                  <w14:solidFill>
                    <w14:schemeClr w14:val="tx1"/>
                  </w14:solidFill>
                </w14:textFill>
              </w:rPr>
              <w:t>沉淀池废水沉淀后沉渣收集后送至政府指定地点处置；</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生活垃圾集中收集后，及时清运至垃圾中转站由环卫部门处置。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pP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（五）</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环境管理措施</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及生态保护</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措施</w:t>
            </w:r>
          </w:p>
          <w:p>
            <w:pPr>
              <w:keepNext w:val="0"/>
              <w:keepLines w:val="0"/>
              <w:pageBreakBefore w:val="0"/>
              <w:widowControl w:val="0"/>
              <w:kinsoku/>
              <w:wordWrap/>
              <w:overflowPunct/>
              <w:topLinePunct w:val="0"/>
              <w:autoSpaceDE/>
              <w:autoSpaceDN/>
              <w:bidi w:val="0"/>
              <w:adjustRightInd w:val="0"/>
              <w:snapToGrid w:val="0"/>
              <w:spacing w:line="360" w:lineRule="exact"/>
              <w:ind w:firstLine="560" w:firstLineChars="200"/>
              <w:jc w:val="both"/>
              <w:textAlignment w:val="auto"/>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pP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建立健全环境管理制度，落实环保岗位责任，做好环境管理台账记录；加强环保设施的日常维护和保养，使其正常稳定运行；</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加强环境管理</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，做好</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项目运营期环境监测。项目服务期满后</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拆除</w:t>
            </w:r>
            <w:r>
              <w:rPr>
                <w:rFonts w:hint="default" w:ascii="Times New Roman" w:hAnsi="Times New Roman" w:eastAsia="仿宋_GB2312" w:cs="Times New Roman"/>
                <w:b w:val="0"/>
                <w:bCs w:val="0"/>
                <w:color w:val="000000" w:themeColor="text1"/>
                <w:sz w:val="28"/>
                <w:szCs w:val="28"/>
                <w:lang w:val="en-US" w:eastAsia="zh-CN"/>
                <w14:textFill>
                  <w14:solidFill>
                    <w14:schemeClr w14:val="tx1"/>
                  </w14:solidFill>
                </w14:textFill>
              </w:rPr>
              <w:t>混凝土生产线</w:t>
            </w:r>
            <w:r>
              <w:rPr>
                <w:rFonts w:hint="default" w:ascii="Times New Roman" w:hAnsi="Times New Roman" w:eastAsia="仿宋_GB2312" w:cs="Times New Roman"/>
                <w:b w:val="0"/>
                <w:bCs w:val="0"/>
                <w:color w:val="000000" w:themeColor="text1"/>
                <w:sz w:val="28"/>
                <w:szCs w:val="28"/>
                <w14:textFill>
                  <w14:solidFill>
                    <w14:schemeClr w14:val="tx1"/>
                  </w14:solidFill>
                </w14:textFill>
              </w:rPr>
              <w:t>和临时建筑物设备</w:t>
            </w:r>
            <w:r>
              <w:rPr>
                <w:rFonts w:hint="default" w:ascii="Times New Roman" w:hAnsi="Times New Roman" w:eastAsia="仿宋_GB2312" w:cs="Times New Roman"/>
                <w:b w:val="0"/>
                <w:bCs w:val="0"/>
                <w:color w:val="000000" w:themeColor="text1"/>
                <w:sz w:val="28"/>
                <w:szCs w:val="28"/>
                <w:lang w:eastAsia="zh-CN"/>
                <w14:textFill>
                  <w14:solidFill>
                    <w14:schemeClr w14:val="tx1"/>
                  </w14:solidFill>
                </w14:textFill>
              </w:rPr>
              <w:t>，</w:t>
            </w:r>
            <w:r>
              <w:rPr>
                <w:rFonts w:hint="default" w:ascii="Times New Roman" w:hAnsi="Times New Roman" w:eastAsia="仿宋_GB2312" w:cs="Times New Roman"/>
                <w:b w:val="0"/>
                <w:bCs w:val="0"/>
                <w:color w:val="000000" w:themeColor="text1"/>
                <w:sz w:val="28"/>
                <w:szCs w:val="28"/>
                <w:lang w:val="en-US" w:eastAsia="zh-CN" w:bidi="en-US"/>
                <w14:textFill>
                  <w14:solidFill>
                    <w14:schemeClr w14:val="tx1"/>
                  </w14:solidFill>
                </w14:textFill>
              </w:rPr>
              <w:t>及时对临时区占地、扰动区域进行场地清理、平整、恢复植被</w:t>
            </w:r>
            <w:r>
              <w:rPr>
                <w:rFonts w:hint="default" w:ascii="Times New Roman" w:hAnsi="Times New Roman" w:eastAsia="仿宋_GB2312" w:cs="Times New Roman"/>
                <w:b w:val="0"/>
                <w:bCs w:val="0"/>
                <w:color w:val="000000" w:themeColor="text1"/>
                <w:kern w:val="2"/>
                <w:sz w:val="28"/>
                <w:szCs w:val="28"/>
                <w:lang w:val="en-US" w:eastAsia="zh-CN" w:bidi="ar-SA"/>
                <w14:textFill>
                  <w14:solidFill>
                    <w14:schemeClr w14:val="tx1"/>
                  </w14:solidFill>
                </w14:textFill>
              </w:rPr>
              <w:t>等相应的生态恢复措施，确保项目区域生态环境逐步得到恢复。</w:t>
            </w:r>
          </w:p>
        </w:tc>
      </w:tr>
    </w:tbl>
    <w:p>
      <w:pPr>
        <w:pStyle w:val="14"/>
        <w:keepNext w:val="0"/>
        <w:keepLines w:val="0"/>
        <w:pageBreakBefore w:val="0"/>
        <w:widowControl/>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000000"/>
          <w:sz w:val="32"/>
          <w:szCs w:val="32"/>
        </w:rPr>
      </w:pPr>
    </w:p>
    <w:p>
      <w:pPr>
        <w:pStyle w:val="14"/>
        <w:keepNext w:val="0"/>
        <w:keepLines w:val="0"/>
        <w:pageBreakBefore w:val="0"/>
        <w:widowControl/>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000000"/>
          <w:sz w:val="32"/>
          <w:szCs w:val="32"/>
        </w:rPr>
      </w:pPr>
    </w:p>
    <w:p>
      <w:pPr>
        <w:pStyle w:val="14"/>
        <w:keepNext w:val="0"/>
        <w:keepLines w:val="0"/>
        <w:pageBreakBefore w:val="0"/>
        <w:widowControl/>
        <w:kinsoku/>
        <w:overflowPunct/>
        <w:topLinePunct w:val="0"/>
        <w:autoSpaceDE/>
        <w:autoSpaceDN/>
        <w:bidi w:val="0"/>
        <w:adjustRightInd/>
        <w:snapToGrid/>
        <w:spacing w:beforeAutospacing="0" w:afterAutospacing="0" w:line="560" w:lineRule="exact"/>
        <w:textAlignment w:val="auto"/>
        <w:rPr>
          <w:rFonts w:hint="default" w:ascii="Times New Roman" w:hAnsi="Times New Roman" w:eastAsia="仿宋_GB2312" w:cs="Times New Roman"/>
          <w:color w:val="000000"/>
          <w:sz w:val="32"/>
          <w:szCs w:val="32"/>
        </w:rPr>
      </w:pPr>
    </w:p>
    <w:p>
      <w:pPr>
        <w:pStyle w:val="14"/>
        <w:keepNext w:val="0"/>
        <w:keepLines w:val="0"/>
        <w:pageBreakBefore w:val="0"/>
        <w:widowControl/>
        <w:kinsoku/>
        <w:overflowPunct/>
        <w:topLinePunct w:val="0"/>
        <w:autoSpaceDE/>
        <w:autoSpaceDN/>
        <w:bidi w:val="0"/>
        <w:adjustRightInd/>
        <w:snapToGrid/>
        <w:spacing w:beforeAutospacing="0" w:afterAutospacing="0" w:line="560" w:lineRule="exact"/>
        <w:ind w:firstLine="640"/>
        <w:textAlignment w:val="auto"/>
        <w:rPr>
          <w:rFonts w:hint="default" w:ascii="Times New Roman" w:hAnsi="Times New Roman" w:eastAsia="仿宋_GB2312" w:cs="Times New Roman"/>
          <w:sz w:val="32"/>
          <w:szCs w:val="32"/>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1"/>
    <w:family w:val="swiss"/>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MGFlNTdlZjkzNjdlYzUyMzQ3OTY0OTRlZmU5N2IifQ=="/>
  </w:docVars>
  <w:rsids>
    <w:rsidRoot w:val="34F26FE8"/>
    <w:rsid w:val="00907702"/>
    <w:rsid w:val="017163D1"/>
    <w:rsid w:val="01977413"/>
    <w:rsid w:val="01BC3179"/>
    <w:rsid w:val="020D3871"/>
    <w:rsid w:val="02247ACE"/>
    <w:rsid w:val="02B80216"/>
    <w:rsid w:val="02EE3499"/>
    <w:rsid w:val="035902E9"/>
    <w:rsid w:val="03AF0689"/>
    <w:rsid w:val="045D1075"/>
    <w:rsid w:val="04811782"/>
    <w:rsid w:val="053242B0"/>
    <w:rsid w:val="0557490A"/>
    <w:rsid w:val="055B6402"/>
    <w:rsid w:val="066352CE"/>
    <w:rsid w:val="06693D01"/>
    <w:rsid w:val="069E4E1B"/>
    <w:rsid w:val="06D82C35"/>
    <w:rsid w:val="06FD4865"/>
    <w:rsid w:val="070B300A"/>
    <w:rsid w:val="072440CC"/>
    <w:rsid w:val="0760588E"/>
    <w:rsid w:val="0796093E"/>
    <w:rsid w:val="07AE141F"/>
    <w:rsid w:val="07C925B8"/>
    <w:rsid w:val="094055DE"/>
    <w:rsid w:val="09992D89"/>
    <w:rsid w:val="09A62AD4"/>
    <w:rsid w:val="09BA2701"/>
    <w:rsid w:val="09DC2A3C"/>
    <w:rsid w:val="0B6C0FD1"/>
    <w:rsid w:val="0B756CA4"/>
    <w:rsid w:val="0C002C4A"/>
    <w:rsid w:val="0CD80A61"/>
    <w:rsid w:val="0D165B9F"/>
    <w:rsid w:val="0E0764FF"/>
    <w:rsid w:val="0E8826AD"/>
    <w:rsid w:val="0E8A0CB9"/>
    <w:rsid w:val="0EFB1BB6"/>
    <w:rsid w:val="0F104CEB"/>
    <w:rsid w:val="0F2B5443"/>
    <w:rsid w:val="0F687C02"/>
    <w:rsid w:val="0F8F5D51"/>
    <w:rsid w:val="0FE03CE6"/>
    <w:rsid w:val="10B62239"/>
    <w:rsid w:val="11001706"/>
    <w:rsid w:val="11B524F0"/>
    <w:rsid w:val="11EE5A02"/>
    <w:rsid w:val="12415CEB"/>
    <w:rsid w:val="12CC7BC5"/>
    <w:rsid w:val="12E6616C"/>
    <w:rsid w:val="130231FA"/>
    <w:rsid w:val="13D148D3"/>
    <w:rsid w:val="13EE0D22"/>
    <w:rsid w:val="147E1A93"/>
    <w:rsid w:val="148F142E"/>
    <w:rsid w:val="14BC1F34"/>
    <w:rsid w:val="16B2369D"/>
    <w:rsid w:val="16DF5EDC"/>
    <w:rsid w:val="171A1540"/>
    <w:rsid w:val="17685603"/>
    <w:rsid w:val="18876269"/>
    <w:rsid w:val="18FE652B"/>
    <w:rsid w:val="19A83F9E"/>
    <w:rsid w:val="19D23E96"/>
    <w:rsid w:val="1A9A04D5"/>
    <w:rsid w:val="1AA32E0D"/>
    <w:rsid w:val="1ACF5D3D"/>
    <w:rsid w:val="1B487F31"/>
    <w:rsid w:val="1C4C57FF"/>
    <w:rsid w:val="1CF739BD"/>
    <w:rsid w:val="1D3A2B25"/>
    <w:rsid w:val="1D5514AC"/>
    <w:rsid w:val="1D5A6E1C"/>
    <w:rsid w:val="1D7440AA"/>
    <w:rsid w:val="1F1A746F"/>
    <w:rsid w:val="204C29A0"/>
    <w:rsid w:val="209E791B"/>
    <w:rsid w:val="20A0579D"/>
    <w:rsid w:val="215F3C1B"/>
    <w:rsid w:val="21FB79D4"/>
    <w:rsid w:val="224D6757"/>
    <w:rsid w:val="22877591"/>
    <w:rsid w:val="22DD2570"/>
    <w:rsid w:val="23576CFB"/>
    <w:rsid w:val="23DC4733"/>
    <w:rsid w:val="248C3262"/>
    <w:rsid w:val="24AD1486"/>
    <w:rsid w:val="24CF3471"/>
    <w:rsid w:val="25D01A77"/>
    <w:rsid w:val="26BE72FA"/>
    <w:rsid w:val="26C32B62"/>
    <w:rsid w:val="26FD1F37"/>
    <w:rsid w:val="27D51A97"/>
    <w:rsid w:val="27EC6201"/>
    <w:rsid w:val="28503734"/>
    <w:rsid w:val="287D475E"/>
    <w:rsid w:val="294E1C48"/>
    <w:rsid w:val="2B214C73"/>
    <w:rsid w:val="2B6C5576"/>
    <w:rsid w:val="2B8E1990"/>
    <w:rsid w:val="2BAC6E14"/>
    <w:rsid w:val="2C666077"/>
    <w:rsid w:val="2CA84CD4"/>
    <w:rsid w:val="2CBC5ED2"/>
    <w:rsid w:val="2CD935E2"/>
    <w:rsid w:val="2D6C4AD7"/>
    <w:rsid w:val="2D99461C"/>
    <w:rsid w:val="2DA72631"/>
    <w:rsid w:val="2DBB2E42"/>
    <w:rsid w:val="2E026666"/>
    <w:rsid w:val="2F7C5A5D"/>
    <w:rsid w:val="300A1801"/>
    <w:rsid w:val="301D62BF"/>
    <w:rsid w:val="308B06ED"/>
    <w:rsid w:val="30F85AFE"/>
    <w:rsid w:val="31B12094"/>
    <w:rsid w:val="31D2634F"/>
    <w:rsid w:val="31D71BB7"/>
    <w:rsid w:val="31E340B8"/>
    <w:rsid w:val="32266D1E"/>
    <w:rsid w:val="3230232C"/>
    <w:rsid w:val="325B0D62"/>
    <w:rsid w:val="32C861D6"/>
    <w:rsid w:val="334119DE"/>
    <w:rsid w:val="34F26FE8"/>
    <w:rsid w:val="35150D11"/>
    <w:rsid w:val="351F2803"/>
    <w:rsid w:val="35BC4B46"/>
    <w:rsid w:val="3633464F"/>
    <w:rsid w:val="368C0EAE"/>
    <w:rsid w:val="368F7963"/>
    <w:rsid w:val="36E711CA"/>
    <w:rsid w:val="37485FCA"/>
    <w:rsid w:val="37702892"/>
    <w:rsid w:val="378332AD"/>
    <w:rsid w:val="37883FC6"/>
    <w:rsid w:val="37A96833"/>
    <w:rsid w:val="37B95F7A"/>
    <w:rsid w:val="382174F0"/>
    <w:rsid w:val="38CF3B52"/>
    <w:rsid w:val="39646D5D"/>
    <w:rsid w:val="399D36E6"/>
    <w:rsid w:val="39EF6D0B"/>
    <w:rsid w:val="39F72DF7"/>
    <w:rsid w:val="3A3E3410"/>
    <w:rsid w:val="3A552DAA"/>
    <w:rsid w:val="3A941AAE"/>
    <w:rsid w:val="3AD413C5"/>
    <w:rsid w:val="3B2A389F"/>
    <w:rsid w:val="3B436316"/>
    <w:rsid w:val="3B6E533A"/>
    <w:rsid w:val="3B7434BE"/>
    <w:rsid w:val="3BFD046C"/>
    <w:rsid w:val="3C1F09B0"/>
    <w:rsid w:val="3CEF4259"/>
    <w:rsid w:val="3D016A1B"/>
    <w:rsid w:val="3D153BD8"/>
    <w:rsid w:val="3D6466F9"/>
    <w:rsid w:val="3D827D7F"/>
    <w:rsid w:val="3F984734"/>
    <w:rsid w:val="41466412"/>
    <w:rsid w:val="42160E79"/>
    <w:rsid w:val="42616FB6"/>
    <w:rsid w:val="42DA02CE"/>
    <w:rsid w:val="42FB058D"/>
    <w:rsid w:val="432A5FEB"/>
    <w:rsid w:val="436A4B29"/>
    <w:rsid w:val="43721740"/>
    <w:rsid w:val="44511355"/>
    <w:rsid w:val="44A82AFB"/>
    <w:rsid w:val="45723E20"/>
    <w:rsid w:val="45927197"/>
    <w:rsid w:val="45BD4E21"/>
    <w:rsid w:val="45BE44EE"/>
    <w:rsid w:val="46DD674E"/>
    <w:rsid w:val="47476ADD"/>
    <w:rsid w:val="479746A1"/>
    <w:rsid w:val="47F15329"/>
    <w:rsid w:val="48074B4D"/>
    <w:rsid w:val="48611E55"/>
    <w:rsid w:val="487E74FE"/>
    <w:rsid w:val="48E234FC"/>
    <w:rsid w:val="48FD73F3"/>
    <w:rsid w:val="491017DF"/>
    <w:rsid w:val="4B887D52"/>
    <w:rsid w:val="4B8E2E8F"/>
    <w:rsid w:val="4B957026"/>
    <w:rsid w:val="4C0C12DD"/>
    <w:rsid w:val="4C4D2F43"/>
    <w:rsid w:val="4CAC7CAA"/>
    <w:rsid w:val="4CC27294"/>
    <w:rsid w:val="4CFD207A"/>
    <w:rsid w:val="4D4E2E80"/>
    <w:rsid w:val="4D525AC0"/>
    <w:rsid w:val="4D9E1367"/>
    <w:rsid w:val="4DB7251F"/>
    <w:rsid w:val="4DC0429E"/>
    <w:rsid w:val="4DD40617"/>
    <w:rsid w:val="4DD8377A"/>
    <w:rsid w:val="4E4C0A68"/>
    <w:rsid w:val="4E54216E"/>
    <w:rsid w:val="4E7310AB"/>
    <w:rsid w:val="4E8F423A"/>
    <w:rsid w:val="4ECA2FB5"/>
    <w:rsid w:val="4ED866D6"/>
    <w:rsid w:val="4EFA0F67"/>
    <w:rsid w:val="4F70440B"/>
    <w:rsid w:val="513737E2"/>
    <w:rsid w:val="513E478E"/>
    <w:rsid w:val="51700341"/>
    <w:rsid w:val="519B6306"/>
    <w:rsid w:val="51CC6EC1"/>
    <w:rsid w:val="5452714F"/>
    <w:rsid w:val="54C24E95"/>
    <w:rsid w:val="54DD22F6"/>
    <w:rsid w:val="54F77CF7"/>
    <w:rsid w:val="552D54C7"/>
    <w:rsid w:val="55394F4F"/>
    <w:rsid w:val="557B041E"/>
    <w:rsid w:val="55C22555"/>
    <w:rsid w:val="55EC0170"/>
    <w:rsid w:val="56E67FFC"/>
    <w:rsid w:val="56EA7D93"/>
    <w:rsid w:val="573E1C0D"/>
    <w:rsid w:val="58317352"/>
    <w:rsid w:val="587D5821"/>
    <w:rsid w:val="588E1CBB"/>
    <w:rsid w:val="58D04AE7"/>
    <w:rsid w:val="5A3E3CD2"/>
    <w:rsid w:val="5A4E03B9"/>
    <w:rsid w:val="5ACF5CC4"/>
    <w:rsid w:val="5C222CA6"/>
    <w:rsid w:val="5CB749BC"/>
    <w:rsid w:val="5CD15E21"/>
    <w:rsid w:val="5CFC1658"/>
    <w:rsid w:val="5D5F43EF"/>
    <w:rsid w:val="5E6C1861"/>
    <w:rsid w:val="5E8B1BDC"/>
    <w:rsid w:val="5EBA108B"/>
    <w:rsid w:val="5ED372FB"/>
    <w:rsid w:val="5F2275C5"/>
    <w:rsid w:val="5F445625"/>
    <w:rsid w:val="5F51094D"/>
    <w:rsid w:val="5F715882"/>
    <w:rsid w:val="5F8C2C3A"/>
    <w:rsid w:val="5FE5356E"/>
    <w:rsid w:val="60875AA0"/>
    <w:rsid w:val="60890469"/>
    <w:rsid w:val="60C72AAD"/>
    <w:rsid w:val="60CF51DF"/>
    <w:rsid w:val="612754C0"/>
    <w:rsid w:val="61913B54"/>
    <w:rsid w:val="61CE508D"/>
    <w:rsid w:val="621A4583"/>
    <w:rsid w:val="62261C1B"/>
    <w:rsid w:val="63116428"/>
    <w:rsid w:val="63305B9F"/>
    <w:rsid w:val="63897EDA"/>
    <w:rsid w:val="63AD3924"/>
    <w:rsid w:val="64B90B25"/>
    <w:rsid w:val="64B96E71"/>
    <w:rsid w:val="64EF7314"/>
    <w:rsid w:val="65096757"/>
    <w:rsid w:val="651F1636"/>
    <w:rsid w:val="65634EC4"/>
    <w:rsid w:val="66723681"/>
    <w:rsid w:val="66774239"/>
    <w:rsid w:val="66C84152"/>
    <w:rsid w:val="6714083F"/>
    <w:rsid w:val="68552394"/>
    <w:rsid w:val="68C77CB4"/>
    <w:rsid w:val="68E436A7"/>
    <w:rsid w:val="6A07719C"/>
    <w:rsid w:val="6A3D18F3"/>
    <w:rsid w:val="6A5B488F"/>
    <w:rsid w:val="6AC30FE4"/>
    <w:rsid w:val="6B5B46E4"/>
    <w:rsid w:val="6B982B45"/>
    <w:rsid w:val="6BC24763"/>
    <w:rsid w:val="6C3A0656"/>
    <w:rsid w:val="6CAC61C2"/>
    <w:rsid w:val="6D042B59"/>
    <w:rsid w:val="6D580D3A"/>
    <w:rsid w:val="6D633D24"/>
    <w:rsid w:val="6D943EDD"/>
    <w:rsid w:val="6E331948"/>
    <w:rsid w:val="6E690CD6"/>
    <w:rsid w:val="6F0D03EB"/>
    <w:rsid w:val="6F4216DC"/>
    <w:rsid w:val="6FCF744E"/>
    <w:rsid w:val="6FF46EB5"/>
    <w:rsid w:val="702324A5"/>
    <w:rsid w:val="70235CAC"/>
    <w:rsid w:val="71771B4C"/>
    <w:rsid w:val="71BE59CD"/>
    <w:rsid w:val="723E111D"/>
    <w:rsid w:val="72691DDC"/>
    <w:rsid w:val="72E57503"/>
    <w:rsid w:val="731437B8"/>
    <w:rsid w:val="736102C3"/>
    <w:rsid w:val="73FE2024"/>
    <w:rsid w:val="760A7432"/>
    <w:rsid w:val="76242E62"/>
    <w:rsid w:val="76C450FA"/>
    <w:rsid w:val="76D57A40"/>
    <w:rsid w:val="76EB4163"/>
    <w:rsid w:val="77D623AA"/>
    <w:rsid w:val="785E75C1"/>
    <w:rsid w:val="787578B0"/>
    <w:rsid w:val="787C5C9A"/>
    <w:rsid w:val="78A552D4"/>
    <w:rsid w:val="790D4A2F"/>
    <w:rsid w:val="79877399"/>
    <w:rsid w:val="7A102B3D"/>
    <w:rsid w:val="7A7579C6"/>
    <w:rsid w:val="7B1342CC"/>
    <w:rsid w:val="7BF32717"/>
    <w:rsid w:val="7C080A39"/>
    <w:rsid w:val="7C72598F"/>
    <w:rsid w:val="7DE92023"/>
    <w:rsid w:val="7E2748F9"/>
    <w:rsid w:val="7E3E035F"/>
    <w:rsid w:val="7EFD65B5"/>
    <w:rsid w:val="7F4C286A"/>
    <w:rsid w:val="7F737DF6"/>
    <w:rsid w:val="7FC927C8"/>
    <w:rsid w:val="7FDB2A1C"/>
    <w:rsid w:val="EFFFB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semiHidden/>
    <w:qFormat/>
    <w:uiPriority w:val="0"/>
    <w:pPr>
      <w:spacing w:beforeAutospacing="1" w:afterAutospacing="1"/>
      <w:jc w:val="left"/>
      <w:outlineLvl w:val="1"/>
    </w:pPr>
    <w:rPr>
      <w:rFonts w:ascii="宋体" w:hAnsi="宋体"/>
      <w:b/>
      <w:kern w:val="0"/>
      <w:sz w:val="36"/>
      <w:szCs w:val="36"/>
    </w:rPr>
  </w:style>
  <w:style w:type="character" w:default="1" w:styleId="17">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customStyle="1" w:styleId="2">
    <w:name w:val="正文（缩进）"/>
    <w:basedOn w:val="3"/>
    <w:qFormat/>
    <w:uiPriority w:val="0"/>
    <w:pPr>
      <w:spacing w:line="360" w:lineRule="auto"/>
      <w:ind w:firstLine="480" w:firstLineChars="200"/>
    </w:pPr>
    <w:rPr>
      <w:sz w:val="24"/>
      <w:szCs w:val="24"/>
    </w:rPr>
  </w:style>
  <w:style w:type="paragraph" w:customStyle="1" w:styleId="3">
    <w:name w:val="正文(首行缩进)"/>
    <w:basedOn w:val="1"/>
    <w:qFormat/>
    <w:uiPriority w:val="0"/>
    <w:pPr>
      <w:spacing w:line="460" w:lineRule="exact"/>
      <w:ind w:firstLine="560" w:firstLineChars="200"/>
    </w:pPr>
    <w:rPr>
      <w:rFonts w:ascii="宋体" w:hAnsi="宋体"/>
      <w:snapToGrid w:val="0"/>
      <w:color w:val="000000"/>
      <w:kern w:val="0"/>
      <w:szCs w:val="24"/>
    </w:rPr>
  </w:style>
  <w:style w:type="paragraph" w:styleId="6">
    <w:name w:val="Normal Indent"/>
    <w:basedOn w:val="1"/>
    <w:next w:val="7"/>
    <w:qFormat/>
    <w:uiPriority w:val="0"/>
    <w:pPr>
      <w:ind w:firstLine="420" w:firstLineChars="200"/>
    </w:pPr>
  </w:style>
  <w:style w:type="paragraph" w:customStyle="1" w:styleId="7">
    <w:name w:val="表头"/>
    <w:basedOn w:val="8"/>
    <w:next w:val="1"/>
    <w:qFormat/>
    <w:uiPriority w:val="0"/>
    <w:pPr>
      <w:snapToGrid w:val="0"/>
      <w:spacing w:before="60" w:beforeLines="25"/>
    </w:pPr>
    <w:rPr>
      <w:rFonts w:hAnsi="宋体" w:eastAsia="仿宋_GB2312"/>
      <w:b/>
      <w:sz w:val="28"/>
      <w:szCs w:val="28"/>
    </w:rPr>
  </w:style>
  <w:style w:type="paragraph" w:styleId="8">
    <w:name w:val="Plain Text"/>
    <w:basedOn w:val="1"/>
    <w:next w:val="9"/>
    <w:qFormat/>
    <w:uiPriority w:val="0"/>
    <w:rPr>
      <w:rFonts w:ascii="宋体" w:hAnsi="Courier New"/>
    </w:rPr>
  </w:style>
  <w:style w:type="paragraph" w:styleId="9">
    <w:name w:val="toc 1"/>
    <w:basedOn w:val="1"/>
    <w:next w:val="1"/>
    <w:qFormat/>
    <w:uiPriority w:val="0"/>
  </w:style>
  <w:style w:type="paragraph" w:styleId="10">
    <w:name w:val="Body Text Indent"/>
    <w:basedOn w:val="1"/>
    <w:next w:val="11"/>
    <w:qFormat/>
    <w:uiPriority w:val="0"/>
    <w:pPr>
      <w:snapToGrid w:val="0"/>
      <w:spacing w:before="120" w:line="360" w:lineRule="atLeast"/>
      <w:ind w:firstLine="539"/>
    </w:pPr>
  </w:style>
  <w:style w:type="paragraph" w:styleId="11">
    <w:name w:val="Body Text First Indent 2"/>
    <w:basedOn w:val="10"/>
    <w:next w:val="1"/>
    <w:qFormat/>
    <w:uiPriority w:val="0"/>
    <w:pPr>
      <w:ind w:firstLine="420" w:firstLineChars="200"/>
    </w:pPr>
  </w:style>
  <w:style w:type="paragraph" w:styleId="12">
    <w:name w:val="footer"/>
    <w:basedOn w:val="1"/>
    <w:qFormat/>
    <w:uiPriority w:val="0"/>
    <w:pPr>
      <w:tabs>
        <w:tab w:val="center" w:pos="4153"/>
        <w:tab w:val="right" w:pos="8306"/>
      </w:tabs>
      <w:snapToGrid w:val="0"/>
      <w:jc w:val="left"/>
    </w:pPr>
    <w:rPr>
      <w:rFonts w:ascii="Calibri" w:hAnsi="Calibri" w:cs="Calibri"/>
      <w:sz w:val="18"/>
      <w:szCs w:val="18"/>
    </w:rPr>
  </w:style>
  <w:style w:type="paragraph" w:styleId="13">
    <w:name w:val="Body Text 2"/>
    <w:basedOn w:val="1"/>
    <w:qFormat/>
    <w:uiPriority w:val="0"/>
    <w:pPr>
      <w:spacing w:after="120" w:line="480" w:lineRule="auto"/>
    </w:pPr>
  </w:style>
  <w:style w:type="paragraph" w:styleId="14">
    <w:name w:val="Normal (Web)"/>
    <w:basedOn w:val="1"/>
    <w:qFormat/>
    <w:uiPriority w:val="0"/>
    <w:pPr>
      <w:spacing w:beforeAutospacing="1" w:afterAutospacing="1"/>
      <w:jc w:val="left"/>
    </w:pPr>
    <w:rPr>
      <w:kern w:val="0"/>
      <w:sz w:val="24"/>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rFonts w:cs="Times New Roman"/>
      <w:b/>
    </w:rPr>
  </w:style>
  <w:style w:type="paragraph" w:customStyle="1" w:styleId="19">
    <w:name w:val="表格"/>
    <w:basedOn w:val="6"/>
    <w:next w:val="1"/>
    <w:qFormat/>
    <w:uiPriority w:val="0"/>
    <w:pPr>
      <w:spacing w:line="240" w:lineRule="atLeast"/>
      <w:jc w:val="center"/>
    </w:pPr>
  </w:style>
  <w:style w:type="paragraph" w:customStyle="1" w:styleId="20">
    <w:name w:val="表格2"/>
    <w:next w:val="13"/>
    <w:qFormat/>
    <w:uiPriority w:val="0"/>
    <w:pPr>
      <w:widowControl/>
      <w:jc w:val="center"/>
    </w:pPr>
    <w:rPr>
      <w:rFonts w:ascii="Times New Roman" w:hAnsi="Courier New" w:eastAsia="宋体" w:cs="Courier New"/>
      <w:color w:val="000000"/>
      <w:sz w:val="24"/>
      <w:szCs w:val="24"/>
      <w:lang w:val="en-US" w:eastAsia="zh-CN" w:bidi="ar-SA"/>
    </w:rPr>
  </w:style>
  <w:style w:type="paragraph" w:customStyle="1" w:styleId="2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22">
    <w:name w:val="p0"/>
    <w:basedOn w:val="1"/>
    <w:qFormat/>
    <w:uiPriority w:val="0"/>
    <w:pPr>
      <w:widowControl/>
    </w:pPr>
    <w:rPr>
      <w:kern w:val="0"/>
      <w:szCs w:val="21"/>
    </w:rPr>
  </w:style>
  <w:style w:type="paragraph" w:customStyle="1" w:styleId="23">
    <w:name w:val="报告表正文"/>
    <w:basedOn w:val="1"/>
    <w:qFormat/>
    <w:uiPriority w:val="0"/>
    <w:pPr>
      <w:overflowPunct w:val="0"/>
      <w:adjustRightInd w:val="0"/>
      <w:snapToGrid w:val="0"/>
      <w:spacing w:line="360" w:lineRule="auto"/>
      <w:ind w:firstLine="200" w:firstLineChars="200"/>
    </w:pPr>
    <w:rPr>
      <w:rFonts w:ascii="Times New Roman" w:hAnsi="Times New Roman" w:eastAsia="仿宋_GB2312"/>
      <w:color w:val="000000"/>
      <w:kern w:val="16"/>
      <w:sz w:val="24"/>
      <w:szCs w:val="24"/>
    </w:rPr>
  </w:style>
  <w:style w:type="paragraph" w:customStyle="1" w:styleId="24">
    <w:name w:val="样式 正文缩进正文缩进2正文缩进 Char Char正文缩进 Char Char Char Char正文缩进 Char ..."/>
    <w:basedOn w:val="6"/>
    <w:qFormat/>
    <w:uiPriority w:val="0"/>
    <w:pPr>
      <w:spacing w:line="360" w:lineRule="auto"/>
      <w:ind w:firstLine="200"/>
    </w:pPr>
    <w:rPr>
      <w:rFonts w:cs="宋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1199</Words>
  <Characters>1304</Characters>
  <Lines>0</Lines>
  <Paragraphs>0</Paragraphs>
  <TotalTime>4</TotalTime>
  <ScaleCrop>false</ScaleCrop>
  <LinksUpToDate>false</LinksUpToDate>
  <CharactersWithSpaces>1326</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2020-08-05T15:22:00Z</dcterms:created>
  <dc:creator>鱼儿</dc:creator>
  <cp:lastModifiedBy>zw</cp:lastModifiedBy>
  <cp:lastPrinted>2024-01-29T16:07:00Z</cp:lastPrinted>
  <dcterms:modified xsi:type="dcterms:W3CDTF">2024-04-15T16:05:52Z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520C81DA3F364CB98B7175746C5928F2</vt:lpwstr>
  </property>
</Properties>
</file>